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89"/>
        <w:gridCol w:w="13"/>
        <w:gridCol w:w="283"/>
        <w:gridCol w:w="142"/>
        <w:gridCol w:w="142"/>
        <w:gridCol w:w="283"/>
        <w:gridCol w:w="567"/>
        <w:gridCol w:w="284"/>
        <w:gridCol w:w="29"/>
        <w:gridCol w:w="254"/>
        <w:gridCol w:w="567"/>
        <w:gridCol w:w="284"/>
        <w:gridCol w:w="20"/>
        <w:gridCol w:w="263"/>
        <w:gridCol w:w="284"/>
        <w:gridCol w:w="283"/>
        <w:gridCol w:w="171"/>
        <w:gridCol w:w="396"/>
        <w:gridCol w:w="29"/>
        <w:gridCol w:w="538"/>
        <w:gridCol w:w="29"/>
        <w:gridCol w:w="425"/>
        <w:gridCol w:w="113"/>
        <w:gridCol w:w="63"/>
        <w:gridCol w:w="391"/>
        <w:gridCol w:w="113"/>
        <w:gridCol w:w="567"/>
        <w:gridCol w:w="1134"/>
      </w:tblGrid>
      <w:tr w:rsidR="00F81BC2" w:rsidRPr="00171C74" w14:paraId="4185BA5B" w14:textId="77777777" w:rsidTr="00AD4757">
        <w:trPr>
          <w:trHeight w:val="1611"/>
        </w:trPr>
        <w:tc>
          <w:tcPr>
            <w:tcW w:w="5558" w:type="dxa"/>
            <w:gridSpan w:val="17"/>
          </w:tcPr>
          <w:p w14:paraId="68529E54" w14:textId="77777777" w:rsidR="00F81BC2" w:rsidRPr="00F85120" w:rsidRDefault="00F81BC2" w:rsidP="00E66F2F">
            <w:pPr>
              <w:spacing w:line="276" w:lineRule="auto"/>
              <w:rPr>
                <w:rStyle w:val="Ppogrubienie"/>
              </w:rPr>
            </w:pPr>
            <w:bookmarkStart w:id="0" w:name="_GoBack"/>
            <w:bookmarkEnd w:id="0"/>
            <w:r w:rsidRPr="00F85120">
              <w:rPr>
                <w:rStyle w:val="Ppogrubienie"/>
              </w:rPr>
              <w:t>Nazwa projektu</w:t>
            </w:r>
          </w:p>
          <w:p w14:paraId="4490F5D3" w14:textId="4ABB13F1" w:rsidR="00F81BC2" w:rsidRDefault="00AB62D1" w:rsidP="00E66F2F">
            <w:pPr>
              <w:spacing w:line="276" w:lineRule="auto"/>
            </w:pPr>
            <w:r>
              <w:rPr>
                <w:lang w:eastAsia="en-US"/>
              </w:rPr>
              <w:t xml:space="preserve">Projekt </w:t>
            </w:r>
            <w:r w:rsidR="00124342" w:rsidRPr="005E2F78">
              <w:t>rozporządzeni</w:t>
            </w:r>
            <w:r w:rsidR="00124342">
              <w:t>a</w:t>
            </w:r>
            <w:r w:rsidR="00124342" w:rsidRPr="005E2F78">
              <w:t xml:space="preserve"> Ministra </w:t>
            </w:r>
            <w:r w:rsidR="00124342">
              <w:t>Rozwoju, Pracy i Technologii</w:t>
            </w:r>
            <w:r w:rsidR="00124342" w:rsidRPr="005E2F78">
              <w:t xml:space="preserve"> w sprawie </w:t>
            </w:r>
            <w:r w:rsidR="00124342">
              <w:t>osnów geodezyjnych, grawimetrycznych i magnetycznych</w:t>
            </w:r>
            <w:r w:rsidR="00135BD1">
              <w:t>.</w:t>
            </w:r>
            <w:r w:rsidR="00F81BC2" w:rsidRPr="00406E47">
              <w:t xml:space="preserve">  </w:t>
            </w:r>
          </w:p>
          <w:p w14:paraId="08337C6B" w14:textId="77777777" w:rsidR="00F35BB6" w:rsidRPr="00211C03" w:rsidRDefault="00F35BB6" w:rsidP="00F35BB6">
            <w:pPr>
              <w:spacing w:line="240" w:lineRule="auto"/>
              <w:rPr>
                <w:rStyle w:val="Ppogrubienie"/>
                <w:bCs/>
              </w:rPr>
            </w:pPr>
            <w:r w:rsidRPr="00211C03">
              <w:rPr>
                <w:rStyle w:val="Ppogrubienie"/>
              </w:rPr>
              <w:t>Ministerstwo wiodące i ministerstwa współpracujące</w:t>
            </w:r>
          </w:p>
          <w:p w14:paraId="3A38C367" w14:textId="77777777" w:rsidR="00F35BB6" w:rsidRPr="002B2C2B" w:rsidRDefault="00F35BB6" w:rsidP="00F35BB6">
            <w:pPr>
              <w:spacing w:line="240" w:lineRule="auto"/>
            </w:pPr>
            <w:r w:rsidRPr="002B2C2B">
              <w:t>Ministerstwo Rozwoju, Pracy i Technologii</w:t>
            </w:r>
          </w:p>
          <w:p w14:paraId="2EAD188A" w14:textId="77777777" w:rsidR="00F35BB6" w:rsidRPr="00211C03" w:rsidRDefault="00F35BB6" w:rsidP="00F35BB6">
            <w:pPr>
              <w:spacing w:line="240" w:lineRule="auto"/>
            </w:pPr>
            <w:r w:rsidRPr="00211C03">
              <w:t>Główny Urząd Geodezji i Kartografii</w:t>
            </w:r>
          </w:p>
          <w:p w14:paraId="419342F8" w14:textId="77777777" w:rsidR="00F35BB6" w:rsidRPr="00211C03" w:rsidRDefault="00F35BB6" w:rsidP="00F35BB6">
            <w:pPr>
              <w:spacing w:before="240" w:after="240" w:line="240" w:lineRule="auto"/>
              <w:rPr>
                <w:rStyle w:val="Ppogrubienie"/>
              </w:rPr>
            </w:pPr>
            <w:r w:rsidRPr="00211C03">
              <w:rPr>
                <w:rStyle w:val="Ppogrubienie"/>
              </w:rPr>
              <w:t xml:space="preserve">Osoba odpowiedzialna za projekt w randze Ministra, Sekretarza Stanu lub Podsekretarza Stanu </w:t>
            </w:r>
          </w:p>
          <w:p w14:paraId="497CFFF5" w14:textId="77777777" w:rsidR="00F35BB6" w:rsidRPr="00211C03" w:rsidRDefault="00F35BB6" w:rsidP="00F35BB6">
            <w:pPr>
              <w:spacing w:line="240" w:lineRule="auto"/>
            </w:pPr>
            <w:r>
              <w:t>Pani Anna Kornecka</w:t>
            </w:r>
            <w:r w:rsidRPr="002B2C2B">
              <w:t xml:space="preserve"> – Podsekretarz Stanu w Ministerstwie Rozwoju, Pracy i Technologii</w:t>
            </w:r>
          </w:p>
          <w:p w14:paraId="5B742801" w14:textId="77777777" w:rsidR="00F35BB6" w:rsidRPr="00F35BB6" w:rsidRDefault="00F35BB6" w:rsidP="00F35BB6">
            <w:pPr>
              <w:spacing w:before="240" w:line="240" w:lineRule="auto"/>
              <w:rPr>
                <w:rStyle w:val="Ppogrubienie"/>
                <w:b w:val="0"/>
                <w:bCs/>
              </w:rPr>
            </w:pPr>
            <w:r w:rsidRPr="00F35BB6">
              <w:rPr>
                <w:rStyle w:val="Ppogrubienie"/>
                <w:b w:val="0"/>
              </w:rPr>
              <w:t>Pan Waldemar Izdebski – Główny Geodeta Kraju</w:t>
            </w:r>
          </w:p>
          <w:p w14:paraId="122F8B94" w14:textId="77777777" w:rsidR="00F35BB6" w:rsidRDefault="00F35BB6" w:rsidP="00F35BB6">
            <w:pPr>
              <w:spacing w:line="240" w:lineRule="auto"/>
              <w:rPr>
                <w:rStyle w:val="Ppogrubienie"/>
              </w:rPr>
            </w:pPr>
          </w:p>
          <w:p w14:paraId="450A5EBE" w14:textId="77777777" w:rsidR="00F35BB6" w:rsidRPr="00211C03" w:rsidRDefault="00F35BB6" w:rsidP="00F35BB6">
            <w:pPr>
              <w:spacing w:line="240" w:lineRule="auto"/>
              <w:rPr>
                <w:rStyle w:val="Ppogrubienie"/>
              </w:rPr>
            </w:pPr>
            <w:r w:rsidRPr="00211C03">
              <w:rPr>
                <w:rStyle w:val="Ppogrubienie"/>
              </w:rPr>
              <w:t>Kontakt do opiekuna</w:t>
            </w:r>
            <w:r w:rsidR="00124342">
              <w:rPr>
                <w:rStyle w:val="Ppogrubienie"/>
              </w:rPr>
              <w:t xml:space="preserve"> </w:t>
            </w:r>
            <w:r w:rsidRPr="00211C03">
              <w:rPr>
                <w:rStyle w:val="Ppogrubienie"/>
              </w:rPr>
              <w:t xml:space="preserve"> merytorycznego projektu:</w:t>
            </w:r>
          </w:p>
          <w:p w14:paraId="39E17EC8" w14:textId="77777777" w:rsidR="00F35BB6" w:rsidRDefault="00124342" w:rsidP="00124342">
            <w:pPr>
              <w:spacing w:line="276" w:lineRule="auto"/>
              <w:jc w:val="both"/>
            </w:pPr>
            <w:r>
              <w:t>Pan</w:t>
            </w:r>
            <w:r w:rsidR="00F35BB6" w:rsidRPr="00E042FE">
              <w:t xml:space="preserve"> </w:t>
            </w:r>
            <w:r>
              <w:t>Jarosław Somla</w:t>
            </w:r>
            <w:r w:rsidR="00F35BB6" w:rsidRPr="00E042FE">
              <w:t xml:space="preserve"> – </w:t>
            </w:r>
            <w:r>
              <w:t>Naczelnik Wydziału Geodezji i Systemów Odniesień Przestrzennych</w:t>
            </w:r>
            <w:r w:rsidR="00F35BB6" w:rsidRPr="00E042FE">
              <w:t xml:space="preserve"> GUGiK</w:t>
            </w:r>
          </w:p>
          <w:p w14:paraId="1AC99DBE" w14:textId="77777777" w:rsidR="00F35BB6" w:rsidRPr="00E75620" w:rsidRDefault="00F35BB6" w:rsidP="00586BD1">
            <w:pPr>
              <w:spacing w:line="276" w:lineRule="auto"/>
              <w:rPr>
                <w:lang w:val="en-GB"/>
              </w:rPr>
            </w:pPr>
            <w:r w:rsidRPr="00E75620">
              <w:rPr>
                <w:lang w:val="en-GB"/>
              </w:rPr>
              <w:t xml:space="preserve">Tel. 22 563 13 </w:t>
            </w:r>
            <w:r w:rsidR="00124342" w:rsidRPr="00E75620">
              <w:rPr>
                <w:lang w:val="en-GB"/>
              </w:rPr>
              <w:t>46</w:t>
            </w:r>
          </w:p>
          <w:p w14:paraId="43B548C1" w14:textId="77777777" w:rsidR="00F81BC2" w:rsidRPr="00124342" w:rsidRDefault="00F35BB6" w:rsidP="00586BD1">
            <w:pPr>
              <w:spacing w:line="276" w:lineRule="auto"/>
              <w:rPr>
                <w:lang w:val="en-GB" w:eastAsia="en-US"/>
              </w:rPr>
            </w:pPr>
            <w:r w:rsidRPr="00124342">
              <w:rPr>
                <w:lang w:val="en-GB"/>
              </w:rPr>
              <w:t xml:space="preserve">mail: </w:t>
            </w:r>
            <w:r w:rsidR="00124342" w:rsidRPr="00124342">
              <w:rPr>
                <w:lang w:val="en-GB"/>
              </w:rPr>
              <w:t>jaroslaw.</w:t>
            </w:r>
            <w:r w:rsidR="00124342">
              <w:rPr>
                <w:lang w:val="en-GB"/>
              </w:rPr>
              <w:t>somla</w:t>
            </w:r>
            <w:r w:rsidRPr="00124342">
              <w:rPr>
                <w:lang w:val="en-GB"/>
              </w:rPr>
              <w:t>@gugik.gov.pl</w:t>
            </w:r>
          </w:p>
        </w:tc>
        <w:tc>
          <w:tcPr>
            <w:tcW w:w="3798" w:type="dxa"/>
            <w:gridSpan w:val="11"/>
            <w:shd w:val="clear" w:color="auto" w:fill="FFFFFF"/>
          </w:tcPr>
          <w:p w14:paraId="1CB4FFF0" w14:textId="161CC6BA" w:rsidR="00F81BC2" w:rsidRPr="0047214E" w:rsidRDefault="00F81BC2" w:rsidP="00E66F2F">
            <w:pPr>
              <w:spacing w:line="276" w:lineRule="auto"/>
              <w:rPr>
                <w:lang w:eastAsia="en-US"/>
              </w:rPr>
            </w:pPr>
            <w:r w:rsidRPr="0047214E">
              <w:rPr>
                <w:rStyle w:val="Ppogrubienie"/>
              </w:rPr>
              <w:t>Data sporządzenia</w:t>
            </w:r>
            <w:r w:rsidRPr="0047214E">
              <w:rPr>
                <w:lang w:eastAsia="en-US"/>
              </w:rPr>
              <w:br/>
            </w:r>
            <w:r w:rsidR="000A08C2">
              <w:t>21.04</w:t>
            </w:r>
            <w:r w:rsidRPr="0047214E">
              <w:t>.</w:t>
            </w:r>
            <w:r w:rsidRPr="0047214E">
              <w:rPr>
                <w:lang w:eastAsia="en-US"/>
              </w:rPr>
              <w:t>20</w:t>
            </w:r>
            <w:r w:rsidRPr="0047214E">
              <w:t>2</w:t>
            </w:r>
            <w:r w:rsidR="002C5FC6">
              <w:t>1</w:t>
            </w:r>
            <w:r w:rsidRPr="0047214E">
              <w:rPr>
                <w:lang w:eastAsia="en-US"/>
              </w:rPr>
              <w:t xml:space="preserve"> r.</w:t>
            </w:r>
          </w:p>
          <w:p w14:paraId="66CB5C4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  <w:p w14:paraId="229FCB37" w14:textId="77777777" w:rsidR="00F81BC2" w:rsidRPr="00F85120" w:rsidRDefault="00F81BC2" w:rsidP="00E66F2F">
            <w:pPr>
              <w:spacing w:line="276" w:lineRule="auto"/>
              <w:rPr>
                <w:rStyle w:val="Ppogrubienie"/>
              </w:rPr>
            </w:pPr>
            <w:r w:rsidRPr="00F85120">
              <w:rPr>
                <w:rStyle w:val="Ppogrubienie"/>
              </w:rPr>
              <w:t xml:space="preserve">Źródło: </w:t>
            </w:r>
          </w:p>
          <w:p w14:paraId="6743B207" w14:textId="3A58193D" w:rsidR="00F81BC2" w:rsidRPr="00171C74" w:rsidRDefault="00F91365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Upoważnienie ustawowe – art.</w:t>
            </w:r>
            <w:r w:rsidR="00AA7E74">
              <w:rPr>
                <w:lang w:eastAsia="en-US"/>
              </w:rPr>
              <w:t xml:space="preserve"> </w:t>
            </w:r>
            <w:r w:rsidR="00AA7E74" w:rsidRPr="00792CD3">
              <w:t>19</w:t>
            </w:r>
            <w:r w:rsidR="00AA7E74">
              <w:t xml:space="preserve"> ust. </w:t>
            </w:r>
            <w:r w:rsidR="00AA7E74" w:rsidRPr="00792CD3">
              <w:t>1</w:t>
            </w:r>
            <w:r w:rsidR="00AA7E74">
              <w:t xml:space="preserve"> pkt </w:t>
            </w:r>
            <w:r w:rsidR="00AA7E74" w:rsidRPr="00792CD3">
              <w:t>6</w:t>
            </w:r>
            <w:r w:rsidR="00AA7E74">
              <w:t xml:space="preserve"> </w:t>
            </w:r>
            <w:r>
              <w:rPr>
                <w:lang w:eastAsia="en-US"/>
              </w:rPr>
              <w:t>u</w:t>
            </w:r>
            <w:r w:rsidR="00F81BC2" w:rsidRPr="00171C74">
              <w:rPr>
                <w:lang w:eastAsia="en-US"/>
              </w:rPr>
              <w:t>staw</w:t>
            </w:r>
            <w:r>
              <w:rPr>
                <w:lang w:eastAsia="en-US"/>
              </w:rPr>
              <w:t>y</w:t>
            </w:r>
            <w:r w:rsidR="00F81BC2" w:rsidRPr="00171C74">
              <w:rPr>
                <w:lang w:eastAsia="en-US"/>
              </w:rPr>
              <w:t xml:space="preserve"> z dnia 17 maja 1989 r. </w:t>
            </w:r>
            <w:r>
              <w:rPr>
                <w:lang w:eastAsia="en-US"/>
              </w:rPr>
              <w:t>–</w:t>
            </w:r>
            <w:r w:rsidRPr="00171C74">
              <w:rPr>
                <w:lang w:eastAsia="en-US"/>
              </w:rPr>
              <w:t xml:space="preserve"> </w:t>
            </w:r>
            <w:r w:rsidR="00F81BC2" w:rsidRPr="00171C74">
              <w:rPr>
                <w:lang w:eastAsia="en-US"/>
              </w:rPr>
              <w:t xml:space="preserve">Prawo geodezyjne i kartograficzne </w:t>
            </w:r>
            <w:r w:rsidR="00F81BC2" w:rsidRPr="00212B68">
              <w:t>(Dz.</w:t>
            </w:r>
            <w:r w:rsidR="00F81BC2" w:rsidRPr="00DC2100">
              <w:t xml:space="preserve"> U. z 20</w:t>
            </w:r>
            <w:r w:rsidR="00F81BC2">
              <w:t>20</w:t>
            </w:r>
            <w:r w:rsidR="00F81BC2" w:rsidRPr="00DC2100">
              <w:t xml:space="preserve"> r. poz. </w:t>
            </w:r>
            <w:r w:rsidR="00F81BC2">
              <w:t>2</w:t>
            </w:r>
            <w:r w:rsidR="00AE5DB8">
              <w:t>052</w:t>
            </w:r>
            <w:r w:rsidR="00F81BC2" w:rsidRPr="00DC2100">
              <w:t>)</w:t>
            </w:r>
            <w:r w:rsidR="00F81BC2" w:rsidRPr="00171C74">
              <w:rPr>
                <w:lang w:eastAsia="en-US"/>
              </w:rPr>
              <w:t>.</w:t>
            </w:r>
          </w:p>
          <w:p w14:paraId="2B11A77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  <w:p w14:paraId="5F522970" w14:textId="77777777" w:rsidR="00F81BC2" w:rsidRPr="00B60076" w:rsidRDefault="00F81BC2" w:rsidP="00E66F2F">
            <w:pPr>
              <w:spacing w:line="276" w:lineRule="auto"/>
              <w:rPr>
                <w:lang w:eastAsia="en-US"/>
              </w:rPr>
            </w:pPr>
            <w:r w:rsidRPr="00F91365">
              <w:rPr>
                <w:rStyle w:val="Ppogrubienie"/>
              </w:rPr>
              <w:t>Nr w wykazie prac</w:t>
            </w:r>
            <w:r w:rsidRPr="00AA7E74">
              <w:rPr>
                <w:b/>
                <w:lang w:eastAsia="en-US"/>
              </w:rPr>
              <w:t xml:space="preserve"> </w:t>
            </w:r>
            <w:r w:rsidRPr="00AA7E74">
              <w:rPr>
                <w:b/>
              </w:rPr>
              <w:t xml:space="preserve">legislacyjnych </w:t>
            </w:r>
            <w:r w:rsidRPr="00AA7E74">
              <w:rPr>
                <w:b/>
                <w:lang w:eastAsia="en-US"/>
              </w:rPr>
              <w:t>Ministra Rozwoju</w:t>
            </w:r>
            <w:r w:rsidR="00B60076" w:rsidRPr="00AA7E74">
              <w:rPr>
                <w:b/>
                <w:lang w:eastAsia="en-US"/>
              </w:rPr>
              <w:t>, Pracy i Technologii</w:t>
            </w:r>
            <w:r w:rsidRPr="00EB5370">
              <w:rPr>
                <w:lang w:eastAsia="en-US"/>
              </w:rPr>
              <w:t xml:space="preserve"> </w:t>
            </w:r>
            <w:r w:rsidR="00B60076" w:rsidRPr="00EB5370">
              <w:rPr>
                <w:lang w:eastAsia="en-US"/>
              </w:rPr>
              <w:t>–</w:t>
            </w:r>
            <w:r w:rsidRPr="00EB5370">
              <w:rPr>
                <w:lang w:eastAsia="en-US"/>
              </w:rPr>
              <w:t xml:space="preserve"> </w:t>
            </w:r>
            <w:r w:rsidR="00E75620" w:rsidRPr="00EB5370">
              <w:rPr>
                <w:lang w:eastAsia="en-US"/>
              </w:rPr>
              <w:t>17</w:t>
            </w:r>
            <w:r w:rsidR="00B60076" w:rsidRPr="00B60076">
              <w:rPr>
                <w:lang w:eastAsia="en-US"/>
              </w:rPr>
              <w:t xml:space="preserve"> </w:t>
            </w:r>
          </w:p>
          <w:p w14:paraId="6E0CAA2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  <w:p w14:paraId="76E81BF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55BDD142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424B16FD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  <w:lang w:eastAsia="en-US"/>
              </w:rPr>
              <w:t>OCENA SKUTKÓW REGULACJI</w:t>
            </w:r>
          </w:p>
        </w:tc>
      </w:tr>
      <w:tr w:rsidR="00F81BC2" w:rsidRPr="00171C74" w14:paraId="390C0BFE" w14:textId="77777777" w:rsidTr="002B40E8">
        <w:trPr>
          <w:trHeight w:val="333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6E11B9A6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1. </w:t>
            </w:r>
            <w:r w:rsidRPr="00F506C0">
              <w:rPr>
                <w:rStyle w:val="Ppogrubienie"/>
                <w:lang w:eastAsia="en-US"/>
              </w:rPr>
              <w:t>Jaki problem jest rozwiązywany?</w:t>
            </w:r>
          </w:p>
        </w:tc>
      </w:tr>
      <w:tr w:rsidR="00F81BC2" w:rsidRPr="00171C74" w14:paraId="674E540B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1E34DE53" w14:textId="467D8E61" w:rsidR="00124342" w:rsidRPr="00124342" w:rsidRDefault="00124342" w:rsidP="00124342">
            <w:pPr>
              <w:pStyle w:val="NIEARTTEKSTtekstnieartykuowanynppodstprawnarozplubpreambua"/>
              <w:spacing w:line="276" w:lineRule="auto"/>
            </w:pPr>
            <w:r w:rsidRPr="00124342">
              <w:t>Potrzeba wydania niniejszego rozporządzenia wynika z konieczności dostosowania przepisów obowiązującego rozporządzenia Ministra Administracji i Cyfry</w:t>
            </w:r>
            <w:r w:rsidR="00F3458F">
              <w:t xml:space="preserve">zacji z dnia 14 lutego 2012 r. </w:t>
            </w:r>
            <w:r w:rsidRPr="00124342">
              <w:t>w sprawie osnów geodezyjnych, grawimetrycznych i magnetycznych  (Dz. U. z</w:t>
            </w:r>
            <w:r w:rsidR="00F91365">
              <w:t> </w:t>
            </w:r>
            <w:r w:rsidRPr="00124342">
              <w:t>2012 r. poz. 352), zwanego dalej rozporządzeniem z 2012 r., do zmian wprowadzanych przepisami ustawy z dnia 16 kwietnia 2020 r. o zmianie ustawy – Prawo geodezyjne i</w:t>
            </w:r>
            <w:r w:rsidR="00F91365">
              <w:t> </w:t>
            </w:r>
            <w:r w:rsidRPr="00124342">
              <w:t xml:space="preserve">kartograficzne oraz niektórych innych ustaw (Dz. U. poz. 782), zwanej dalej </w:t>
            </w:r>
            <w:r w:rsidR="00F91365">
              <w:t>„</w:t>
            </w:r>
            <w:r w:rsidRPr="00124342">
              <w:t>ustawą zmieniającą</w:t>
            </w:r>
            <w:r w:rsidR="00F91365">
              <w:t>”</w:t>
            </w:r>
            <w:r w:rsidRPr="00124342">
              <w:t>, które weszły w</w:t>
            </w:r>
            <w:r w:rsidR="00BA63E5">
              <w:t> </w:t>
            </w:r>
            <w:r w:rsidRPr="00124342">
              <w:t>życie z dniem 31 lipca 2020 r.</w:t>
            </w:r>
          </w:p>
          <w:p w14:paraId="6D41E1D4" w14:textId="17599851" w:rsidR="00F3458F" w:rsidRDefault="00E82B44" w:rsidP="00F3458F">
            <w:pPr>
              <w:pStyle w:val="NIEARTTEKSTtekstnieartykuowanynppodstprawnarozplubpreambua"/>
              <w:spacing w:line="276" w:lineRule="auto"/>
            </w:pPr>
            <w:r w:rsidRPr="00E82B44">
              <w:t xml:space="preserve">Zgodnie z art. 19 ustawy zmieniającej, przepisy wykonawcze wydane na podstawie art. 19 ust. 1 pkt </w:t>
            </w:r>
            <w:r w:rsidR="00925A71">
              <w:t>6</w:t>
            </w:r>
            <w:r w:rsidRPr="00E82B44">
              <w:t xml:space="preserve"> </w:t>
            </w:r>
            <w:r w:rsidR="00F3458F">
              <w:t xml:space="preserve">ustawy </w:t>
            </w:r>
            <w:r w:rsidR="00630423" w:rsidRPr="00171C74">
              <w:rPr>
                <w:lang w:eastAsia="en-US"/>
              </w:rPr>
              <w:t xml:space="preserve">z dnia 17 maja 1989 r. </w:t>
            </w:r>
            <w:r w:rsidR="00F91365">
              <w:t>–</w:t>
            </w:r>
            <w:r w:rsidR="00630423">
              <w:t xml:space="preserve"> </w:t>
            </w:r>
            <w:r w:rsidR="00F3458F">
              <w:t>Prawo geodezyjne i kartograficzne</w:t>
            </w:r>
            <w:r w:rsidRPr="00E82B44">
              <w:t xml:space="preserve"> zachowują moc do dnia wejścia w życie przepisów wykonawczych wydanych na podstawie nowego brzmienia przedmiotowego przepisu ustawy, jednak nie dłużej niż przez 12 miesięcy. W związku z powyższym, w okresie czasowego zachowania w mocy rozporządzenia z 2012 r., zachodzi konieczność wydania nowego rozporządzenia.</w:t>
            </w:r>
            <w:r w:rsidR="00F3458F" w:rsidRPr="00F3458F">
              <w:t xml:space="preserve"> </w:t>
            </w:r>
          </w:p>
          <w:p w14:paraId="13816D64" w14:textId="24680F71" w:rsidR="00F3458F" w:rsidRPr="00F3458F" w:rsidRDefault="00F3458F">
            <w:pPr>
              <w:pStyle w:val="NIEARTTEKSTtekstnieartykuowanynppodstprawnarozplubpreambua"/>
              <w:spacing w:line="276" w:lineRule="auto"/>
              <w:rPr>
                <w:rFonts w:ascii="Times New Roman" w:eastAsia="Calibri" w:hAnsi="Times New Roman" w:cs="Times New Roman"/>
                <w:bCs w:val="0"/>
                <w:color w:val="00000A"/>
                <w:sz w:val="22"/>
                <w:szCs w:val="22"/>
              </w:rPr>
            </w:pPr>
            <w:r w:rsidRPr="00F3458F">
              <w:t>W związku z art. 1 pkt 2 lit. a tiret drugie i lit. b ustawy zmieniającej</w:t>
            </w:r>
            <w:r w:rsidR="00F91365">
              <w:t>,</w:t>
            </w:r>
            <w:r w:rsidRPr="00F3458F">
              <w:t xml:space="preserve"> bazy danych obiektów topograficznych o szczegółowości zapewniającej tworzenie standardowych opracowań kartograficznych w skalach 1:500-1:5000 są tworzone i prowadzone na podstawie art. 4 ust. 1a pkt 12</w:t>
            </w:r>
            <w:r w:rsidRPr="00E82B44">
              <w:t xml:space="preserve"> </w:t>
            </w:r>
            <w:r>
              <w:t xml:space="preserve">ustawy </w:t>
            </w:r>
            <w:r w:rsidR="00630423" w:rsidRPr="00171C74">
              <w:rPr>
                <w:lang w:eastAsia="en-US"/>
              </w:rPr>
              <w:t xml:space="preserve">z dnia 17 maja 1989 r. </w:t>
            </w:r>
            <w:r w:rsidR="00F91365">
              <w:t xml:space="preserve">– </w:t>
            </w:r>
            <w:r>
              <w:t>Prawo geodezyjne i kartograficzne</w:t>
            </w:r>
            <w:r w:rsidRPr="00F3458F">
              <w:t xml:space="preserve">, a nie </w:t>
            </w:r>
            <w:r w:rsidR="00F91365">
              <w:t>–</w:t>
            </w:r>
            <w:r w:rsidR="00F91365" w:rsidRPr="00F3458F">
              <w:t xml:space="preserve"> </w:t>
            </w:r>
            <w:r w:rsidRPr="00F3458F">
              <w:t xml:space="preserve">jak dotychczas </w:t>
            </w:r>
            <w:r w:rsidR="00F91365">
              <w:t>–</w:t>
            </w:r>
            <w:r w:rsidR="00F91365" w:rsidRPr="00F3458F">
              <w:t xml:space="preserve"> </w:t>
            </w:r>
            <w:r w:rsidRPr="00F3458F">
              <w:t xml:space="preserve">na podstawie art. 4 ust. 1b tej ustawy. Powyższa zmiana spowodowała zmianę treści upoważnienia do wydania rozporządzenia regulującego organizację, tryb </w:t>
            </w:r>
            <w:r w:rsidRPr="00F3458F">
              <w:lastRenderedPageBreak/>
              <w:t>i</w:t>
            </w:r>
            <w:r w:rsidR="00F91365">
              <w:t> </w:t>
            </w:r>
            <w:r w:rsidRPr="00F3458F">
              <w:t>standardy techniczne zakładania i</w:t>
            </w:r>
            <w:r w:rsidR="005B3276">
              <w:t> </w:t>
            </w:r>
            <w:r w:rsidRPr="00F3458F">
              <w:t>utrzymywania podstawowych osnów geodezyjnych, grawimetrycznych i magnetycznych oraz szczegółowych osnów geodezyjnych, szczegółowy zakres informacji gromadzonych w bazie danych państwowego rejestru podstawowych osnów geodezyjnych, grawimetrycznych i</w:t>
            </w:r>
            <w:r w:rsidR="005B3276">
              <w:t> </w:t>
            </w:r>
            <w:r w:rsidRPr="00F3458F">
              <w:t>magnetycznych oraz w bazie danych szczegółowych osnów geodezyjnych</w:t>
            </w:r>
            <w:r w:rsidR="00EB5370">
              <w:t>,</w:t>
            </w:r>
            <w:r w:rsidRPr="00F3458F">
              <w:t xml:space="preserve"> w której funkcjonowało odesłan</w:t>
            </w:r>
            <w:r>
              <w:t xml:space="preserve">ie do uchylanego art. 4 ust. 1b ustawy </w:t>
            </w:r>
            <w:r w:rsidR="00630423" w:rsidRPr="00171C74">
              <w:rPr>
                <w:lang w:eastAsia="en-US"/>
              </w:rPr>
              <w:t>z</w:t>
            </w:r>
            <w:r w:rsidR="00F91365">
              <w:rPr>
                <w:lang w:eastAsia="en-US"/>
              </w:rPr>
              <w:t> </w:t>
            </w:r>
            <w:r w:rsidR="00630423" w:rsidRPr="00171C74">
              <w:rPr>
                <w:lang w:eastAsia="en-US"/>
              </w:rPr>
              <w:t xml:space="preserve">dnia 17 maja 1989 r. </w:t>
            </w:r>
            <w:r w:rsidR="00F91365">
              <w:t xml:space="preserve">– </w:t>
            </w:r>
            <w:r>
              <w:t>Prawo geodezyjne i</w:t>
            </w:r>
            <w:r w:rsidR="005B3276">
              <w:t> </w:t>
            </w:r>
            <w:r>
              <w:t>kartograficzne</w:t>
            </w:r>
            <w:r w:rsidRPr="00F3458F">
              <w:t>.</w:t>
            </w:r>
            <w:r w:rsidRPr="00F3458F">
              <w:rPr>
                <w:rFonts w:ascii="Times New Roman" w:eastAsia="Calibri" w:hAnsi="Times New Roman" w:cs="Times New Roman"/>
                <w:bCs w:val="0"/>
                <w:color w:val="00000A"/>
                <w:sz w:val="22"/>
                <w:szCs w:val="22"/>
              </w:rPr>
              <w:t xml:space="preserve"> </w:t>
            </w:r>
            <w:r w:rsidRPr="00F3458F">
              <w:t>Wymienione powyżej zagadnienia wymagają podjęcia działań legislacyjnych celem rozwiązania problemów w nich poruszonych</w:t>
            </w:r>
            <w:r w:rsidR="00EB5370">
              <w:t>.</w:t>
            </w:r>
          </w:p>
        </w:tc>
      </w:tr>
      <w:tr w:rsidR="00F81BC2" w:rsidRPr="00171C74" w14:paraId="32FFD837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42FB051C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lastRenderedPageBreak/>
              <w:t xml:space="preserve">2. </w:t>
            </w:r>
            <w:r w:rsidRPr="00F506C0">
              <w:rPr>
                <w:rStyle w:val="Ppogrubienie"/>
                <w:lang w:eastAsia="en-US"/>
              </w:rPr>
              <w:t>Rekomendowane rozwiązanie, w tym planowane narzędzia interwencji, i oczekiwany efekt</w:t>
            </w:r>
          </w:p>
        </w:tc>
      </w:tr>
      <w:tr w:rsidR="00F81BC2" w:rsidRPr="00171C74" w14:paraId="7C5348DC" w14:textId="77777777" w:rsidTr="002B40E8">
        <w:trPr>
          <w:trHeight w:val="142"/>
        </w:trPr>
        <w:tc>
          <w:tcPr>
            <w:tcW w:w="9356" w:type="dxa"/>
            <w:gridSpan w:val="28"/>
          </w:tcPr>
          <w:p w14:paraId="1C16960B" w14:textId="47253047" w:rsidR="00F81BC2" w:rsidRDefault="00F81BC2" w:rsidP="00E66F2F">
            <w:pPr>
              <w:pStyle w:val="NIEARTTEKSTtekstnieartykuowanynppodstprawnarozplubpreambua"/>
              <w:spacing w:line="276" w:lineRule="auto"/>
              <w:ind w:firstLine="0"/>
            </w:pPr>
            <w:r>
              <w:t xml:space="preserve">Rekomenduje się rozwiązanie legislacyjne </w:t>
            </w:r>
            <w:r w:rsidR="00F91365">
              <w:t xml:space="preserve">– </w:t>
            </w:r>
            <w:r>
              <w:t xml:space="preserve">przyjęcie nowego rozporządzenia </w:t>
            </w:r>
            <w:r w:rsidR="00AE178D">
              <w:t xml:space="preserve">Ministra Rozwoju, Pracy i Technologii </w:t>
            </w:r>
            <w:r w:rsidR="00E82B44" w:rsidRPr="00E82B44">
              <w:rPr>
                <w:i/>
              </w:rPr>
              <w:t>w sprawie osnów geodezyjnych, grawimetrycznych i</w:t>
            </w:r>
            <w:r w:rsidR="005B3276">
              <w:rPr>
                <w:i/>
              </w:rPr>
              <w:t> </w:t>
            </w:r>
            <w:r w:rsidR="00E82B44" w:rsidRPr="00E82B44">
              <w:rPr>
                <w:i/>
              </w:rPr>
              <w:t>magnetycznych</w:t>
            </w:r>
            <w:r>
              <w:t xml:space="preserve">. </w:t>
            </w:r>
            <w:r w:rsidRPr="00197664">
              <w:t>Nie jest możliwe osiągnięcie celów projektu za pomocą innych środków.</w:t>
            </w:r>
          </w:p>
          <w:p w14:paraId="2986D23B" w14:textId="77777777" w:rsidR="00F3458F" w:rsidRPr="00F3458F" w:rsidRDefault="00905117" w:rsidP="00F3458F">
            <w:pPr>
              <w:spacing w:line="276" w:lineRule="auto"/>
              <w:jc w:val="both"/>
              <w:rPr>
                <w:rFonts w:ascii="Times" w:hAnsi="Times"/>
                <w:bCs/>
              </w:rPr>
            </w:pPr>
            <w:r>
              <w:rPr>
                <w:rFonts w:ascii="Times" w:hAnsi="Times"/>
                <w:bCs/>
              </w:rPr>
              <w:t xml:space="preserve">W projektowanym rozporządzeniu przewiduje się </w:t>
            </w:r>
            <w:r>
              <w:t xml:space="preserve">doprecyzowanie </w:t>
            </w:r>
            <w:r>
              <w:rPr>
                <w:bCs/>
              </w:rPr>
              <w:t>rozwiązań</w:t>
            </w:r>
            <w:r w:rsidRPr="00E042FE">
              <w:rPr>
                <w:bCs/>
              </w:rPr>
              <w:t xml:space="preserve"> funkcjonując</w:t>
            </w:r>
            <w:r>
              <w:rPr>
                <w:bCs/>
              </w:rPr>
              <w:t>ych w</w:t>
            </w:r>
            <w:r w:rsidRPr="00E042FE">
              <w:rPr>
                <w:bCs/>
              </w:rPr>
              <w:t xml:space="preserve"> </w:t>
            </w:r>
            <w:r>
              <w:rPr>
                <w:bCs/>
              </w:rPr>
              <w:t>dotychczas w </w:t>
            </w:r>
            <w:r w:rsidRPr="00E042FE">
              <w:rPr>
                <w:bCs/>
              </w:rPr>
              <w:t>o</w:t>
            </w:r>
            <w:r>
              <w:rPr>
                <w:bCs/>
              </w:rPr>
              <w:t xml:space="preserve">bowiązującym rozporządzeniu, </w:t>
            </w:r>
            <w:r w:rsidR="00F3458F" w:rsidRPr="00124342">
              <w:t>pop</w:t>
            </w:r>
            <w:r>
              <w:t>rawę czytelności</w:t>
            </w:r>
            <w:r w:rsidR="00F3458F" w:rsidRPr="00124342">
              <w:t xml:space="preserve"> </w:t>
            </w:r>
            <w:r>
              <w:t>oraz zmiany redakcyjne wynikłe z dotychczasowej praktyki</w:t>
            </w:r>
            <w:r w:rsidR="00F3458F" w:rsidRPr="00124342">
              <w:t xml:space="preserve"> stosowania obecnych przepisów. W projektowanym rozporządzeniu wprowadzono następujące zmiany:</w:t>
            </w:r>
          </w:p>
          <w:p w14:paraId="343BD7AF" w14:textId="76DCB338" w:rsidR="00EB5370" w:rsidRDefault="00EB5370" w:rsidP="00955B32">
            <w:pPr>
              <w:pStyle w:val="NIEARTTEKSTtekstnieartykuowanynppodstprawnarozplubpreambua"/>
              <w:numPr>
                <w:ilvl w:val="0"/>
                <w:numId w:val="18"/>
              </w:numPr>
              <w:spacing w:before="0" w:line="276" w:lineRule="auto"/>
            </w:pPr>
            <w:r>
              <w:t xml:space="preserve">wynikające z ustawy </w:t>
            </w:r>
            <w:r w:rsidR="00F91365">
              <w:t>zmieniającej</w:t>
            </w:r>
            <w:r>
              <w:t>,</w:t>
            </w:r>
          </w:p>
          <w:p w14:paraId="76CE1B87" w14:textId="77777777" w:rsidR="00EB5370" w:rsidRDefault="00EB5370" w:rsidP="00955B32">
            <w:pPr>
              <w:pStyle w:val="NIEARTTEKSTtekstnieartykuowanynppodstprawnarozplubpreambua"/>
              <w:numPr>
                <w:ilvl w:val="0"/>
                <w:numId w:val="18"/>
              </w:numPr>
              <w:spacing w:before="0" w:line="276" w:lineRule="auto"/>
            </w:pPr>
            <w:r>
              <w:t>dostosowano s</w:t>
            </w:r>
            <w:r w:rsidRPr="00EA5D39">
              <w:t>tandard</w:t>
            </w:r>
            <w:r>
              <w:t>y</w:t>
            </w:r>
            <w:r w:rsidRPr="00460C4C">
              <w:t xml:space="preserve"> techniczn</w:t>
            </w:r>
            <w:r>
              <w:t xml:space="preserve">e </w:t>
            </w:r>
            <w:r w:rsidRPr="0092255A">
              <w:t xml:space="preserve">zakładania i </w:t>
            </w:r>
            <w:r w:rsidRPr="00AA02FD">
              <w:t>utrzymywania</w:t>
            </w:r>
            <w:r>
              <w:t xml:space="preserve"> </w:t>
            </w:r>
            <w:r w:rsidRPr="00AA02FD">
              <w:t>podstawowych osnów geodezyjnych</w:t>
            </w:r>
            <w:r w:rsidRPr="0092255A">
              <w:t>, grawimetrycznych i magnetycznych oraz szczegółowych osnów geodezyjnych</w:t>
            </w:r>
            <w:r>
              <w:t xml:space="preserve"> do postępu technologicznego w dziedzinie geodezji, uwzględniając stosowanie współczesnych technologii pomiarowych,</w:t>
            </w:r>
          </w:p>
          <w:p w14:paraId="3B255F1D" w14:textId="74DAE8B8" w:rsidR="00955B32" w:rsidRDefault="00955B32" w:rsidP="00955B32">
            <w:pPr>
              <w:pStyle w:val="NIEARTTEKSTtekstnieartykuowanynppodstprawnarozplubpreambua"/>
              <w:numPr>
                <w:ilvl w:val="0"/>
                <w:numId w:val="18"/>
              </w:numPr>
              <w:spacing w:line="276" w:lineRule="auto"/>
            </w:pPr>
            <w:r>
              <w:t xml:space="preserve">wprowadzono nowoczesne metody prezentacji i udostępniania danych za pomocą </w:t>
            </w:r>
            <w:r>
              <w:rPr>
                <w:rFonts w:ascii="Times New Roman" w:hAnsi="Times New Roman" w:cs="Times New Roman"/>
                <w:szCs w:val="24"/>
              </w:rPr>
              <w:t>u</w:t>
            </w:r>
            <w:r w:rsidRPr="000B4058">
              <w:rPr>
                <w:rFonts w:ascii="Times New Roman" w:hAnsi="Times New Roman" w:cs="Times New Roman"/>
                <w:szCs w:val="24"/>
              </w:rPr>
              <w:t xml:space="preserve">sług </w:t>
            </w:r>
            <w:r>
              <w:rPr>
                <w:rFonts w:ascii="Times New Roman" w:hAnsi="Times New Roman" w:cs="Times New Roman"/>
                <w:szCs w:val="24"/>
              </w:rPr>
              <w:t>sieciowych (</w:t>
            </w:r>
            <w:r w:rsidRPr="000B4058">
              <w:rPr>
                <w:rFonts w:ascii="Times New Roman" w:hAnsi="Times New Roman" w:cs="Times New Roman"/>
                <w:szCs w:val="24"/>
              </w:rPr>
              <w:t>zgodn</w:t>
            </w:r>
            <w:r>
              <w:rPr>
                <w:rFonts w:ascii="Times New Roman" w:hAnsi="Times New Roman" w:cs="Times New Roman"/>
                <w:szCs w:val="24"/>
              </w:rPr>
              <w:t>ych</w:t>
            </w:r>
            <w:r w:rsidRPr="000B4058">
              <w:rPr>
                <w:rFonts w:ascii="Times New Roman" w:hAnsi="Times New Roman" w:cs="Times New Roman"/>
                <w:szCs w:val="24"/>
              </w:rPr>
              <w:t xml:space="preserve"> ze standardem WMS </w:t>
            </w:r>
            <w:r>
              <w:rPr>
                <w:rFonts w:ascii="Times New Roman" w:hAnsi="Times New Roman" w:cs="Times New Roman"/>
                <w:szCs w:val="24"/>
              </w:rPr>
              <w:t>i WFS), co przełoży się na możliwość udostępnienia danych w dowolnym portalu internetowym, który ma możliwość podłączenia takiej usługi</w:t>
            </w:r>
            <w:r>
              <w:t>, co pozwoliło na wyeliminowanie zapisów skomplikowanej i zawierającej wiele błędów merytorycznych specyfikacji modelu pojęciowego bazy danych państwowego rejestru podstawowych osnów geodezyjnych, grawimetrycznych i magnetycznych oraz bazy danych szczegółowych osnów geodezyjnych;</w:t>
            </w:r>
          </w:p>
          <w:p w14:paraId="23BEAC9C" w14:textId="353CA592" w:rsidR="00955B32" w:rsidRPr="00307C82" w:rsidRDefault="00955B32" w:rsidP="00955B32">
            <w:pPr>
              <w:pStyle w:val="NIEARTTEKSTtekstnieartykuowanynppodstprawnarozplubpreambua"/>
              <w:numPr>
                <w:ilvl w:val="0"/>
                <w:numId w:val="18"/>
              </w:numPr>
              <w:spacing w:line="276" w:lineRule="auto"/>
            </w:pPr>
            <w:r>
              <w:t xml:space="preserve">wprowadzono regulacje dotyczące niezbędnego zagęszczenia punktów podstawowej osnowy geodezyjnej, uwzględniając rozwój technologiczny oraz włączenie punktów ASG-EUPOS do sieci fundamentalnej, co pozwoliło na </w:t>
            </w:r>
            <w:r w:rsidR="00F07213">
              <w:t>optymalizację</w:t>
            </w:r>
            <w:r>
              <w:t xml:space="preserve"> okresów modernizacji osnowy;</w:t>
            </w:r>
          </w:p>
          <w:p w14:paraId="36BBC051" w14:textId="77777777" w:rsidR="00EB5370" w:rsidRPr="00C86DD4" w:rsidRDefault="00EB5370" w:rsidP="00955B32">
            <w:pPr>
              <w:pStyle w:val="NIEARTTEKSTtekstnieartykuowanynppodstprawnarozplubpreambua"/>
              <w:numPr>
                <w:ilvl w:val="0"/>
                <w:numId w:val="18"/>
              </w:numPr>
              <w:spacing w:before="0" w:line="276" w:lineRule="auto"/>
            </w:pPr>
            <w:r>
              <w:t xml:space="preserve">redakcyjne </w:t>
            </w:r>
            <w:r w:rsidRPr="005C7A15">
              <w:t xml:space="preserve">i dostosowujące brzmienie </w:t>
            </w:r>
            <w:r>
              <w:t xml:space="preserve">niektórych dotychczasowych regulacji </w:t>
            </w:r>
            <w:r w:rsidRPr="005C7A15">
              <w:t>do obowiązujących przepisów prawa</w:t>
            </w:r>
            <w:r>
              <w:t xml:space="preserve"> i rozwoju technologicznego.</w:t>
            </w:r>
          </w:p>
          <w:p w14:paraId="5BCDAC2E" w14:textId="0B885BC5" w:rsidR="00F81BC2" w:rsidRPr="002F517C" w:rsidRDefault="002F517C" w:rsidP="00C01285">
            <w:pPr>
              <w:pStyle w:val="NIEARTTEKSTtekstnieartykuowanynppodstprawnarozplubpreambua"/>
              <w:spacing w:line="276" w:lineRule="auto"/>
              <w:ind w:firstLine="0"/>
              <w:rPr>
                <w:rFonts w:ascii="Times New Roman" w:hAnsi="Times New Roman"/>
              </w:rPr>
            </w:pPr>
            <w:r w:rsidRPr="00211C03">
              <w:rPr>
                <w:rFonts w:ascii="Times New Roman" w:hAnsi="Times New Roman"/>
              </w:rPr>
              <w:t>Biorąc pod uwagę powyższe</w:t>
            </w:r>
            <w:r w:rsidR="00F91365">
              <w:rPr>
                <w:rFonts w:ascii="Times New Roman" w:hAnsi="Times New Roman"/>
              </w:rPr>
              <w:t>,</w:t>
            </w:r>
            <w:r w:rsidRPr="00211C03">
              <w:rPr>
                <w:rFonts w:ascii="Times New Roman" w:hAnsi="Times New Roman"/>
              </w:rPr>
              <w:t xml:space="preserve"> w projekcie przewiduje się zachowanie niektórych </w:t>
            </w:r>
            <w:r w:rsidR="00C01285">
              <w:rPr>
                <w:rFonts w:ascii="Times New Roman" w:hAnsi="Times New Roman"/>
              </w:rPr>
              <w:t xml:space="preserve">sprawdzonych </w:t>
            </w:r>
            <w:r w:rsidRPr="00211C03">
              <w:rPr>
                <w:rFonts w:ascii="Times New Roman" w:hAnsi="Times New Roman"/>
              </w:rPr>
              <w:t>rozwiązań funkcjonujących w obowiązującym rozporządzeniu – z istotnymi zmianami w</w:t>
            </w:r>
            <w:r w:rsidR="00C01285">
              <w:rPr>
                <w:rFonts w:ascii="Times New Roman" w:hAnsi="Times New Roman"/>
              </w:rPr>
              <w:t> </w:t>
            </w:r>
            <w:r w:rsidRPr="00211C03">
              <w:rPr>
                <w:rFonts w:ascii="Times New Roman" w:hAnsi="Times New Roman"/>
              </w:rPr>
              <w:t>zakresie możliwości wykorzystywania postępu technologiczne</w:t>
            </w:r>
            <w:r w:rsidRPr="002F517C">
              <w:rPr>
                <w:rFonts w:ascii="Times New Roman" w:hAnsi="Times New Roman"/>
              </w:rPr>
              <w:t>go.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81BC2" w:rsidRPr="00171C74" w14:paraId="1C239FC6" w14:textId="77777777" w:rsidTr="002B40E8">
        <w:trPr>
          <w:trHeight w:val="307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221F0C32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3. </w:t>
            </w:r>
            <w:r w:rsidRPr="00F506C0">
              <w:rPr>
                <w:rStyle w:val="Ppogrubienie"/>
                <w:lang w:eastAsia="en-US"/>
              </w:rPr>
              <w:t xml:space="preserve">Jak problem został rozwiązany w innych krajach, w szczególności krajach członkowskich OECD/UE? </w:t>
            </w:r>
          </w:p>
        </w:tc>
      </w:tr>
      <w:tr w:rsidR="00F81BC2" w:rsidRPr="00171C74" w14:paraId="4D3CF02E" w14:textId="77777777" w:rsidTr="002B40E8">
        <w:trPr>
          <w:trHeight w:val="142"/>
        </w:trPr>
        <w:tc>
          <w:tcPr>
            <w:tcW w:w="9356" w:type="dxa"/>
            <w:gridSpan w:val="28"/>
          </w:tcPr>
          <w:p w14:paraId="1DB53EF5" w14:textId="77777777" w:rsidR="00F81BC2" w:rsidRPr="00171C74" w:rsidRDefault="00905117" w:rsidP="005B3276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 w:rsidRPr="00905117">
              <w:lastRenderedPageBreak/>
              <w:t>Z uwagi na charakter projektowanego rozporządzenia nie przeprowadzano analizy prawno-porównawczej. Projekt rozporządzenia dotyczy kwestii szczegółowych, związanych z</w:t>
            </w:r>
            <w:r w:rsidR="005B3276">
              <w:t> </w:t>
            </w:r>
            <w:r w:rsidRPr="00905117">
              <w:t>krajowymi regulacjami prawnymi dotyczącymi polskiego systemu prowadzenia rejestru nazw geograficznych, które nie mają bezpośredniego odniesienia do rozwiązań funkcjonujących w</w:t>
            </w:r>
            <w:r w:rsidR="005B3276">
              <w:t> </w:t>
            </w:r>
            <w:r w:rsidRPr="00905117">
              <w:t>innych krajach.</w:t>
            </w:r>
          </w:p>
        </w:tc>
      </w:tr>
      <w:tr w:rsidR="00F81BC2" w:rsidRPr="00171C74" w14:paraId="11E384E3" w14:textId="77777777" w:rsidTr="002B40E8">
        <w:trPr>
          <w:trHeight w:val="359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35D6F0E0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4. </w:t>
            </w:r>
            <w:r w:rsidRPr="00F506C0">
              <w:rPr>
                <w:rStyle w:val="Ppogrubienie"/>
                <w:lang w:eastAsia="en-US"/>
              </w:rPr>
              <w:t>Podmioty, na które oddziałuje projekt</w:t>
            </w:r>
          </w:p>
        </w:tc>
      </w:tr>
      <w:tr w:rsidR="00F81BC2" w:rsidRPr="00171C74" w14:paraId="426CE88B" w14:textId="77777777" w:rsidTr="002B40E8">
        <w:trPr>
          <w:trHeight w:val="142"/>
        </w:trPr>
        <w:tc>
          <w:tcPr>
            <w:tcW w:w="2127" w:type="dxa"/>
            <w:gridSpan w:val="4"/>
          </w:tcPr>
          <w:p w14:paraId="606DC53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Grupa</w:t>
            </w:r>
          </w:p>
        </w:tc>
        <w:tc>
          <w:tcPr>
            <w:tcW w:w="1276" w:type="dxa"/>
            <w:gridSpan w:val="4"/>
          </w:tcPr>
          <w:p w14:paraId="6E32C2A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Wielkość</w:t>
            </w:r>
          </w:p>
        </w:tc>
        <w:tc>
          <w:tcPr>
            <w:tcW w:w="1701" w:type="dxa"/>
            <w:gridSpan w:val="7"/>
          </w:tcPr>
          <w:p w14:paraId="2C61DF4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Źródło danych</w:t>
            </w:r>
            <w:r w:rsidRPr="00171C74" w:rsidDel="00260F33">
              <w:rPr>
                <w:lang w:eastAsia="en-US"/>
              </w:rPr>
              <w:t xml:space="preserve"> </w:t>
            </w:r>
          </w:p>
        </w:tc>
        <w:tc>
          <w:tcPr>
            <w:tcW w:w="4252" w:type="dxa"/>
            <w:gridSpan w:val="13"/>
          </w:tcPr>
          <w:p w14:paraId="41BE73C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Oddziaływanie</w:t>
            </w:r>
          </w:p>
        </w:tc>
      </w:tr>
      <w:tr w:rsidR="0062184A" w:rsidRPr="00171C74" w14:paraId="0BC0306F" w14:textId="77777777" w:rsidTr="0062184A">
        <w:trPr>
          <w:trHeight w:val="3446"/>
        </w:trPr>
        <w:tc>
          <w:tcPr>
            <w:tcW w:w="2127" w:type="dxa"/>
            <w:gridSpan w:val="4"/>
          </w:tcPr>
          <w:p w14:paraId="6722065E" w14:textId="77777777" w:rsidR="0062184A" w:rsidRPr="001D7A50" w:rsidRDefault="0062184A" w:rsidP="00E66F2F">
            <w:pPr>
              <w:spacing w:line="276" w:lineRule="auto"/>
              <w:jc w:val="both"/>
            </w:pPr>
            <w:r w:rsidRPr="001D7A50">
              <w:t>Organy prowadzące państwowy zasób geodezyjny</w:t>
            </w:r>
            <w:r>
              <w:br/>
              <w:t>i kartograficzny,</w:t>
            </w:r>
            <w:r>
              <w:br/>
            </w:r>
            <w:r w:rsidRPr="001D7A50">
              <w:t>w tym:</w:t>
            </w:r>
          </w:p>
          <w:p w14:paraId="1F5B373E" w14:textId="77777777" w:rsidR="0062184A" w:rsidRDefault="0062184A" w:rsidP="00905117">
            <w:pPr>
              <w:widowControl/>
              <w:numPr>
                <w:ilvl w:val="0"/>
                <w:numId w:val="1"/>
              </w:numPr>
              <w:suppressAutoHyphens/>
              <w:autoSpaceDE/>
              <w:autoSpaceDN/>
              <w:adjustRightInd/>
              <w:spacing w:line="276" w:lineRule="auto"/>
              <w:ind w:left="318" w:hanging="284"/>
              <w:jc w:val="both"/>
            </w:pPr>
            <w:r w:rsidRPr="001D7A50">
              <w:t>Główny Geodeta Kraju</w:t>
            </w:r>
          </w:p>
          <w:p w14:paraId="0962F901" w14:textId="7EB82FF3" w:rsidR="0062184A" w:rsidRPr="0062184A" w:rsidRDefault="0062184A" w:rsidP="000C22A0">
            <w:pPr>
              <w:numPr>
                <w:ilvl w:val="0"/>
                <w:numId w:val="1"/>
              </w:numPr>
              <w:suppressAutoHyphens/>
              <w:spacing w:line="276" w:lineRule="auto"/>
              <w:ind w:left="318" w:hanging="284"/>
              <w:jc w:val="both"/>
              <w:rPr>
                <w:lang w:eastAsia="en-US"/>
              </w:rPr>
            </w:pPr>
            <w:r>
              <w:t xml:space="preserve">Starostowie </w:t>
            </w:r>
          </w:p>
        </w:tc>
        <w:tc>
          <w:tcPr>
            <w:tcW w:w="1276" w:type="dxa"/>
            <w:gridSpan w:val="4"/>
          </w:tcPr>
          <w:p w14:paraId="34F746AC" w14:textId="77777777" w:rsidR="0062184A" w:rsidRDefault="0062184A" w:rsidP="00CD4C72">
            <w:pPr>
              <w:pStyle w:val="NIEARTTEKSTtekstnieartykuowanynppodstprawnarozplubpreambua"/>
              <w:spacing w:before="0" w:line="276" w:lineRule="auto"/>
              <w:ind w:firstLine="0"/>
              <w:rPr>
                <w:lang w:eastAsia="en-US"/>
              </w:rPr>
            </w:pPr>
          </w:p>
          <w:p w14:paraId="0D5F0DE1" w14:textId="77777777" w:rsidR="0062184A" w:rsidRDefault="0062184A" w:rsidP="00E66F2F">
            <w:pPr>
              <w:spacing w:line="276" w:lineRule="auto"/>
              <w:rPr>
                <w:lang w:eastAsia="en-US"/>
              </w:rPr>
            </w:pPr>
          </w:p>
          <w:p w14:paraId="12A4189A" w14:textId="77777777" w:rsidR="0062184A" w:rsidRDefault="0062184A" w:rsidP="00E66F2F">
            <w:pPr>
              <w:spacing w:line="276" w:lineRule="auto"/>
              <w:rPr>
                <w:lang w:eastAsia="en-US"/>
              </w:rPr>
            </w:pPr>
          </w:p>
          <w:p w14:paraId="3C5097B3" w14:textId="77777777" w:rsidR="0062184A" w:rsidRDefault="0062184A" w:rsidP="00E66F2F">
            <w:pPr>
              <w:spacing w:line="276" w:lineRule="auto"/>
              <w:rPr>
                <w:lang w:eastAsia="en-US"/>
              </w:rPr>
            </w:pPr>
          </w:p>
          <w:p w14:paraId="7AD87A00" w14:textId="77777777" w:rsidR="00CD4C72" w:rsidRDefault="00CD4C72" w:rsidP="00E66F2F">
            <w:pPr>
              <w:spacing w:line="276" w:lineRule="auto"/>
              <w:rPr>
                <w:lang w:eastAsia="en-US"/>
              </w:rPr>
            </w:pPr>
          </w:p>
          <w:p w14:paraId="09354366" w14:textId="77777777" w:rsidR="00F91365" w:rsidRDefault="00F91365" w:rsidP="00E66F2F">
            <w:pPr>
              <w:spacing w:line="276" w:lineRule="auto"/>
              <w:rPr>
                <w:lang w:eastAsia="en-US"/>
              </w:rPr>
            </w:pPr>
          </w:p>
          <w:p w14:paraId="5DCD593E" w14:textId="77777777" w:rsidR="0062184A" w:rsidRDefault="0062184A" w:rsidP="002D02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346" w:hanging="346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  <w:p w14:paraId="29E59A7C" w14:textId="77777777" w:rsidR="0062184A" w:rsidRDefault="0062184A" w:rsidP="00905117">
            <w:pPr>
              <w:spacing w:line="276" w:lineRule="auto"/>
              <w:rPr>
                <w:lang w:eastAsia="en-US"/>
              </w:rPr>
            </w:pPr>
          </w:p>
          <w:p w14:paraId="68643D4B" w14:textId="77777777" w:rsidR="0062184A" w:rsidRDefault="0062184A" w:rsidP="002D020E">
            <w:pPr>
              <w:pStyle w:val="Akapitzlist"/>
              <w:numPr>
                <w:ilvl w:val="0"/>
                <w:numId w:val="2"/>
              </w:numPr>
              <w:spacing w:line="276" w:lineRule="auto"/>
              <w:ind w:left="346" w:hanging="346"/>
              <w:rPr>
                <w:lang w:eastAsia="en-US"/>
              </w:rPr>
            </w:pPr>
            <w:r>
              <w:rPr>
                <w:lang w:eastAsia="en-US"/>
              </w:rPr>
              <w:t>380</w:t>
            </w:r>
          </w:p>
          <w:p w14:paraId="68905390" w14:textId="77777777" w:rsidR="0062184A" w:rsidRPr="001D7A50" w:rsidRDefault="0062184A" w:rsidP="006218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gridSpan w:val="7"/>
          </w:tcPr>
          <w:p w14:paraId="03E2BC0B" w14:textId="77777777" w:rsidR="0062184A" w:rsidRDefault="0062184A" w:rsidP="00E66F2F">
            <w:pPr>
              <w:pStyle w:val="NIEARTTEKSTtekstnieartykuowanynppodstprawnarozplubpreambua"/>
              <w:spacing w:line="276" w:lineRule="auto"/>
              <w:ind w:firstLine="0"/>
              <w:rPr>
                <w:rFonts w:ascii="Times New Roman" w:hAnsi="Times New Roman"/>
                <w:spacing w:val="-2"/>
              </w:rPr>
            </w:pPr>
            <w:r w:rsidRPr="000B5642">
              <w:rPr>
                <w:rFonts w:ascii="Times New Roman" w:hAnsi="Times New Roman"/>
                <w:spacing w:val="-2"/>
              </w:rPr>
              <w:t>Przepisy prawa</w:t>
            </w:r>
          </w:p>
          <w:p w14:paraId="2C54A7B9" w14:textId="77777777" w:rsidR="0062184A" w:rsidRDefault="0062184A" w:rsidP="0062184A"/>
          <w:p w14:paraId="46B320C0" w14:textId="77777777" w:rsidR="0062184A" w:rsidRDefault="0062184A" w:rsidP="0062184A"/>
          <w:p w14:paraId="60FC3699" w14:textId="77777777" w:rsidR="0062184A" w:rsidRDefault="0062184A" w:rsidP="0062184A"/>
          <w:p w14:paraId="46C7650C" w14:textId="77777777" w:rsidR="0062184A" w:rsidRDefault="0062184A" w:rsidP="0062184A"/>
          <w:p w14:paraId="6A7C528D" w14:textId="77777777" w:rsidR="0062184A" w:rsidRDefault="0062184A" w:rsidP="0062184A"/>
          <w:p w14:paraId="3E77D938" w14:textId="77777777" w:rsidR="0062184A" w:rsidRDefault="0062184A" w:rsidP="0062184A"/>
          <w:p w14:paraId="16D505B3" w14:textId="77777777" w:rsidR="0062184A" w:rsidRDefault="0062184A" w:rsidP="0062184A"/>
          <w:p w14:paraId="05485B07" w14:textId="77777777" w:rsidR="0062184A" w:rsidRPr="0062184A" w:rsidRDefault="0062184A" w:rsidP="0062184A"/>
        </w:tc>
        <w:tc>
          <w:tcPr>
            <w:tcW w:w="4252" w:type="dxa"/>
            <w:gridSpan w:val="13"/>
            <w:vMerge w:val="restart"/>
          </w:tcPr>
          <w:p w14:paraId="43D8DB75" w14:textId="77777777" w:rsidR="0062184A" w:rsidRPr="00211C03" w:rsidRDefault="00905117" w:rsidP="00AA7E74">
            <w:pPr>
              <w:spacing w:before="120" w:after="80" w:line="276" w:lineRule="auto"/>
            </w:pPr>
            <w:r>
              <w:t xml:space="preserve">1. </w:t>
            </w:r>
            <w:r w:rsidR="00EB5370">
              <w:t>W</w:t>
            </w:r>
            <w:r w:rsidR="00EB5370" w:rsidRPr="00EB5370">
              <w:t>prowadz</w:t>
            </w:r>
            <w:r w:rsidR="00EB5370">
              <w:t>enie</w:t>
            </w:r>
            <w:r w:rsidR="00EB5370" w:rsidRPr="00EB5370">
              <w:t xml:space="preserve"> regulacj</w:t>
            </w:r>
            <w:r w:rsidR="00EB5370">
              <w:t>i</w:t>
            </w:r>
            <w:r w:rsidR="00EB5370" w:rsidRPr="00EB5370">
              <w:t xml:space="preserve"> dotycząc</w:t>
            </w:r>
            <w:r w:rsidR="00EB5370">
              <w:t>ych</w:t>
            </w:r>
            <w:r w:rsidR="00EB5370" w:rsidRPr="00EB5370">
              <w:t xml:space="preserve"> niezbędnego zagęszczenia punktów podstawowej osnowy geodezyjnej uwzg</w:t>
            </w:r>
            <w:r w:rsidR="00EB5370">
              <w:t>lędniając rozwój technologiczny.</w:t>
            </w:r>
          </w:p>
          <w:p w14:paraId="7167EF04" w14:textId="77777777" w:rsidR="0062184A" w:rsidRDefault="0062184A" w:rsidP="00AA7E74">
            <w:pPr>
              <w:pStyle w:val="NIEARTTEKSTtekstnieartykuowanynppodstprawnarozplubpreambua"/>
              <w:spacing w:line="276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905117" w:rsidRPr="00905117">
              <w:rPr>
                <w:rFonts w:ascii="Times New Roman" w:hAnsi="Times New Roman"/>
              </w:rPr>
              <w:t xml:space="preserve">Usprawnienie procesu </w:t>
            </w:r>
            <w:r w:rsidR="004A4E01" w:rsidRPr="004A4E01">
              <w:rPr>
                <w:rFonts w:ascii="Times New Roman" w:hAnsi="Times New Roman"/>
              </w:rPr>
              <w:t>zakładania i</w:t>
            </w:r>
            <w:r w:rsidR="005B3276">
              <w:rPr>
                <w:rFonts w:ascii="Times New Roman" w:hAnsi="Times New Roman"/>
              </w:rPr>
              <w:t> </w:t>
            </w:r>
            <w:r w:rsidR="004A4E01" w:rsidRPr="004A4E01">
              <w:rPr>
                <w:rFonts w:ascii="Times New Roman" w:hAnsi="Times New Roman"/>
              </w:rPr>
              <w:t>utrzymywania podstawowych osnów geodezyjnych, grawimetrycznych i</w:t>
            </w:r>
            <w:r w:rsidR="005B3276">
              <w:rPr>
                <w:rFonts w:ascii="Times New Roman" w:hAnsi="Times New Roman"/>
              </w:rPr>
              <w:t> </w:t>
            </w:r>
            <w:r w:rsidR="004A4E01" w:rsidRPr="004A4E01">
              <w:rPr>
                <w:rFonts w:ascii="Times New Roman" w:hAnsi="Times New Roman"/>
              </w:rPr>
              <w:t>magnetycznych oraz szczegółowych osnów geodezyjnych</w:t>
            </w:r>
            <w:r>
              <w:rPr>
                <w:rFonts w:ascii="Times New Roman" w:hAnsi="Times New Roman"/>
              </w:rPr>
              <w:t>.</w:t>
            </w:r>
          </w:p>
          <w:p w14:paraId="3B4972A6" w14:textId="26F7CEF4" w:rsidR="0062184A" w:rsidRPr="00826E07" w:rsidRDefault="006915D2" w:rsidP="00AA7E74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 w:rsidRPr="0040357E">
              <w:rPr>
                <w:rFonts w:ascii="Times New Roman" w:hAnsi="Times New Roman"/>
              </w:rPr>
              <w:t xml:space="preserve">3. </w:t>
            </w:r>
            <w:r w:rsidR="004A4E01">
              <w:rPr>
                <w:rFonts w:ascii="Times New Roman" w:hAnsi="Times New Roman"/>
              </w:rPr>
              <w:t xml:space="preserve">Usprawnienie procesu prowadzenia oraz aktualizacji </w:t>
            </w:r>
            <w:r w:rsidR="004A4E01">
              <w:t>bazy</w:t>
            </w:r>
            <w:r w:rsidR="004A4E01" w:rsidRPr="00F3458F">
              <w:t xml:space="preserve"> danych państwowego rejestru podstawowych osnów geodezyjnych, grawimetryczn</w:t>
            </w:r>
            <w:r w:rsidR="004A4E01">
              <w:t>ych i</w:t>
            </w:r>
            <w:r w:rsidR="005B3276">
              <w:t> </w:t>
            </w:r>
            <w:r w:rsidR="004A4E01">
              <w:t>magnetycznych oraz w bazy</w:t>
            </w:r>
            <w:r w:rsidR="004A4E01" w:rsidRPr="00F3458F">
              <w:t xml:space="preserve"> danych szczegółowych osnów geodezyjnych</w:t>
            </w:r>
            <w:r w:rsidR="00630423">
              <w:t>.</w:t>
            </w:r>
            <w:r w:rsidR="004A4E01">
              <w:rPr>
                <w:rFonts w:ascii="Times New Roman" w:hAnsi="Times New Roman"/>
              </w:rPr>
              <w:t xml:space="preserve"> </w:t>
            </w:r>
          </w:p>
        </w:tc>
      </w:tr>
      <w:tr w:rsidR="0062184A" w:rsidRPr="00171C74" w14:paraId="5F8BF0B5" w14:textId="77777777" w:rsidTr="00AA7E74">
        <w:trPr>
          <w:trHeight w:val="1151"/>
        </w:trPr>
        <w:tc>
          <w:tcPr>
            <w:tcW w:w="2127" w:type="dxa"/>
            <w:gridSpan w:val="4"/>
          </w:tcPr>
          <w:p w14:paraId="670EDBE7" w14:textId="77777777" w:rsidR="0062184A" w:rsidRDefault="0062184A" w:rsidP="00AA7E74">
            <w:pPr>
              <w:pStyle w:val="NIEARTTEKSTtekstnieartykuowanynppodstprawnarozplubpreambua"/>
              <w:spacing w:before="0" w:line="276" w:lineRule="auto"/>
              <w:ind w:firstLine="0"/>
              <w:jc w:val="left"/>
              <w:rPr>
                <w:lang w:eastAsia="en-US"/>
              </w:rPr>
            </w:pPr>
            <w:r>
              <w:rPr>
                <w:lang w:eastAsia="en-US"/>
              </w:rPr>
              <w:t>Wykonawcy prac geodezyjnych</w:t>
            </w:r>
          </w:p>
          <w:p w14:paraId="401714FE" w14:textId="77777777" w:rsidR="0062184A" w:rsidRPr="001D7A50" w:rsidRDefault="0062184A"/>
        </w:tc>
        <w:tc>
          <w:tcPr>
            <w:tcW w:w="1276" w:type="dxa"/>
            <w:gridSpan w:val="4"/>
          </w:tcPr>
          <w:p w14:paraId="508D3993" w14:textId="77777777" w:rsidR="0062184A" w:rsidRDefault="0062184A" w:rsidP="006218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20 000</w:t>
            </w:r>
          </w:p>
          <w:p w14:paraId="54E6AC6B" w14:textId="77777777" w:rsidR="0062184A" w:rsidRDefault="0062184A" w:rsidP="0062184A">
            <w:pPr>
              <w:spacing w:line="276" w:lineRule="auto"/>
              <w:rPr>
                <w:lang w:eastAsia="en-US"/>
              </w:rPr>
            </w:pPr>
          </w:p>
          <w:p w14:paraId="307173EB" w14:textId="77777777" w:rsidR="0062184A" w:rsidRDefault="0062184A" w:rsidP="0062184A">
            <w:pPr>
              <w:spacing w:line="276" w:lineRule="auto"/>
              <w:rPr>
                <w:lang w:eastAsia="en-US"/>
              </w:rPr>
            </w:pPr>
          </w:p>
          <w:p w14:paraId="0B78B931" w14:textId="77777777" w:rsidR="0062184A" w:rsidRDefault="0062184A" w:rsidP="006218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gridSpan w:val="7"/>
          </w:tcPr>
          <w:p w14:paraId="316556D5" w14:textId="77777777" w:rsidR="0062184A" w:rsidRPr="000B5642" w:rsidRDefault="0062184A" w:rsidP="0062184A">
            <w:pPr>
              <w:rPr>
                <w:spacing w:val="-2"/>
              </w:rPr>
            </w:pPr>
            <w:r>
              <w:t>Opracowanie statystyczne GUGiK</w:t>
            </w:r>
          </w:p>
        </w:tc>
        <w:tc>
          <w:tcPr>
            <w:tcW w:w="4252" w:type="dxa"/>
            <w:gridSpan w:val="13"/>
            <w:vMerge/>
          </w:tcPr>
          <w:p w14:paraId="17C0EE8A" w14:textId="77777777" w:rsidR="0062184A" w:rsidRPr="00211C03" w:rsidRDefault="0062184A" w:rsidP="00197A18">
            <w:pPr>
              <w:spacing w:before="120" w:after="80" w:line="276" w:lineRule="auto"/>
            </w:pPr>
          </w:p>
        </w:tc>
      </w:tr>
      <w:tr w:rsidR="00F81BC2" w:rsidRPr="00171C74" w14:paraId="505793BB" w14:textId="77777777" w:rsidTr="002B40E8">
        <w:trPr>
          <w:trHeight w:val="302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169E4206" w14:textId="262BA4F0" w:rsidR="00F81BC2" w:rsidRPr="00F506C0" w:rsidRDefault="00E34380" w:rsidP="00E66F2F">
            <w:pPr>
              <w:spacing w:line="276" w:lineRule="auto"/>
              <w:rPr>
                <w:rStyle w:val="Ppogrubienie"/>
                <w:lang w:eastAsia="en-US"/>
              </w:rPr>
            </w:pPr>
            <w:r>
              <w:rPr>
                <w:rStyle w:val="Ppogrubienie"/>
                <w:lang w:eastAsia="en-US"/>
              </w:rPr>
              <w:t xml:space="preserve">5. </w:t>
            </w:r>
            <w:r>
              <w:rPr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F81BC2" w:rsidRPr="00171C74" w14:paraId="53FEF82B" w14:textId="77777777" w:rsidTr="002B40E8">
        <w:trPr>
          <w:trHeight w:val="342"/>
        </w:trPr>
        <w:tc>
          <w:tcPr>
            <w:tcW w:w="9356" w:type="dxa"/>
            <w:gridSpan w:val="28"/>
            <w:shd w:val="clear" w:color="auto" w:fill="FFFFFF"/>
          </w:tcPr>
          <w:p w14:paraId="4ACB4593" w14:textId="0B3BCA4A" w:rsidR="00523F1A" w:rsidRDefault="00523F1A" w:rsidP="00523F1A">
            <w:pPr>
              <w:spacing w:before="120"/>
              <w:jc w:val="both"/>
              <w:rPr>
                <w:rFonts w:cs="Times New Roman"/>
                <w:sz w:val="22"/>
              </w:rPr>
            </w:pPr>
            <w:r>
              <w:t>W ramach konsultacji publicznych projekt zosta</w:t>
            </w:r>
            <w:r w:rsidR="00967CE8">
              <w:t>ł</w:t>
            </w:r>
            <w:r>
              <w:t xml:space="preserve"> przekazany do:</w:t>
            </w:r>
          </w:p>
          <w:p w14:paraId="7338EDAB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Stowarzyszenia Geodetów Polskich;</w:t>
            </w:r>
          </w:p>
          <w:p w14:paraId="6A02AE15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Geodezyjnej Izby Gospodarczej;</w:t>
            </w:r>
          </w:p>
          <w:p w14:paraId="03DD4A4D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Polskiej Geodezji Komercyjnej;</w:t>
            </w:r>
          </w:p>
          <w:p w14:paraId="5B782A50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Polskiego Towarzystwa Geodezyjnego;</w:t>
            </w:r>
          </w:p>
          <w:p w14:paraId="2BFC1DB3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t>Stowarzyszenia pn. Lokalne Stowarzyszenie Geodezyjne</w:t>
            </w:r>
          </w:p>
          <w:p w14:paraId="020C1F51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Ogólnopolskiego Związku Zawodowego Geodetów </w:t>
            </w:r>
          </w:p>
          <w:p w14:paraId="261A1E40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Związku Powiatów Polskich;</w:t>
            </w:r>
          </w:p>
          <w:p w14:paraId="53073D17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Związku Miast Polskich;</w:t>
            </w:r>
          </w:p>
          <w:p w14:paraId="57BF82E8" w14:textId="77777777" w:rsidR="00523F1A" w:rsidRDefault="00523F1A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Unii Metropolii Polskich;</w:t>
            </w:r>
          </w:p>
          <w:p w14:paraId="690DD92B" w14:textId="77777777" w:rsidR="004A4E01" w:rsidRPr="00EB5370" w:rsidRDefault="004A4E01" w:rsidP="00BF67C5">
            <w:pPr>
              <w:widowControl/>
              <w:numPr>
                <w:ilvl w:val="0"/>
                <w:numId w:val="14"/>
              </w:numPr>
              <w:tabs>
                <w:tab w:val="left" w:pos="436"/>
              </w:tabs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5370">
              <w:rPr>
                <w:color w:val="000000"/>
              </w:rPr>
              <w:t xml:space="preserve">Komitet </w:t>
            </w:r>
            <w:r w:rsidR="00EB5370">
              <w:rPr>
                <w:color w:val="000000"/>
              </w:rPr>
              <w:t>Geodezji Polskiej Akademii Nauk.</w:t>
            </w:r>
          </w:p>
          <w:p w14:paraId="53512D1F" w14:textId="58C36D26" w:rsidR="00523F1A" w:rsidRPr="00AD4757" w:rsidRDefault="00523F1A" w:rsidP="00AD4757">
            <w:pPr>
              <w:spacing w:before="120"/>
              <w:jc w:val="both"/>
            </w:pPr>
            <w:r>
              <w:t>W ramach opiniowania projekt zosta</w:t>
            </w:r>
            <w:r w:rsidR="00967CE8">
              <w:t>ł</w:t>
            </w:r>
            <w:r>
              <w:t xml:space="preserve"> przekazany do:</w:t>
            </w:r>
          </w:p>
          <w:p w14:paraId="6C3CEAAE" w14:textId="2EC5646A" w:rsidR="00523F1A" w:rsidRDefault="00523F1A" w:rsidP="00BF67C5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Prezesa Urzędu Ochrony Danych Osobowych</w:t>
            </w:r>
            <w:r w:rsidR="004A7DD0">
              <w:rPr>
                <w:color w:val="000000"/>
              </w:rPr>
              <w:t>;</w:t>
            </w:r>
            <w:r>
              <w:rPr>
                <w:color w:val="000000"/>
              </w:rPr>
              <w:t xml:space="preserve"> </w:t>
            </w:r>
          </w:p>
          <w:p w14:paraId="78040F0B" w14:textId="77777777" w:rsidR="00523F1A" w:rsidRDefault="00523F1A" w:rsidP="00BF67C5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Prezesa Głównego Urzędu Statystycznego;</w:t>
            </w:r>
          </w:p>
          <w:p w14:paraId="34668493" w14:textId="3C203456" w:rsidR="00F91365" w:rsidRDefault="00EB1A89" w:rsidP="00AA7E74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Rady Dialogu Społecznego;</w:t>
            </w:r>
          </w:p>
          <w:p w14:paraId="0E1DB600" w14:textId="77777777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1A89">
              <w:rPr>
                <w:color w:val="000000"/>
              </w:rPr>
              <w:t>Forum Związków Zawodowych;</w:t>
            </w:r>
          </w:p>
          <w:p w14:paraId="24DBD4D9" w14:textId="750CC5B7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Komisji</w:t>
            </w:r>
            <w:r w:rsidRPr="00EB1A89">
              <w:rPr>
                <w:color w:val="000000"/>
              </w:rPr>
              <w:t xml:space="preserve"> Wspóln</w:t>
            </w:r>
            <w:r>
              <w:rPr>
                <w:color w:val="000000"/>
              </w:rPr>
              <w:t>ej</w:t>
            </w:r>
            <w:r w:rsidRPr="00EB1A89">
              <w:rPr>
                <w:color w:val="000000"/>
              </w:rPr>
              <w:t xml:space="preserve"> Rządu i Samorządu Terytorialnego;</w:t>
            </w:r>
          </w:p>
          <w:p w14:paraId="2081612D" w14:textId="77777777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1A89">
              <w:rPr>
                <w:color w:val="000000"/>
              </w:rPr>
              <w:t>NSZZ Solidarność;</w:t>
            </w:r>
          </w:p>
          <w:p w14:paraId="1E79B4BF" w14:textId="71FCBEA7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1A89">
              <w:rPr>
                <w:color w:val="000000"/>
              </w:rPr>
              <w:t>Ogólnopolskie</w:t>
            </w:r>
            <w:r>
              <w:rPr>
                <w:color w:val="000000"/>
              </w:rPr>
              <w:t>go</w:t>
            </w:r>
            <w:r w:rsidRPr="00EB1A89">
              <w:rPr>
                <w:color w:val="000000"/>
              </w:rPr>
              <w:t xml:space="preserve"> Porozumieni</w:t>
            </w:r>
            <w:r>
              <w:rPr>
                <w:color w:val="000000"/>
              </w:rPr>
              <w:t>a</w:t>
            </w:r>
            <w:r w:rsidRPr="00EB1A89">
              <w:rPr>
                <w:color w:val="000000"/>
              </w:rPr>
              <w:t xml:space="preserve"> Związków Zawodowych;</w:t>
            </w:r>
          </w:p>
          <w:p w14:paraId="3E17BC1C" w14:textId="082AF0DA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1A89">
              <w:rPr>
                <w:color w:val="000000"/>
              </w:rPr>
              <w:t>Prezes</w:t>
            </w:r>
            <w:r>
              <w:rPr>
                <w:color w:val="000000"/>
              </w:rPr>
              <w:t>a</w:t>
            </w:r>
            <w:r w:rsidRPr="00EB1A89">
              <w:rPr>
                <w:color w:val="000000"/>
              </w:rPr>
              <w:t xml:space="preserve"> Związku Pracodawców Business Centre Club;</w:t>
            </w:r>
          </w:p>
          <w:p w14:paraId="2F9844E8" w14:textId="72668920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1A89">
              <w:rPr>
                <w:color w:val="000000"/>
              </w:rPr>
              <w:t>Prezes</w:t>
            </w:r>
            <w:r>
              <w:rPr>
                <w:color w:val="000000"/>
              </w:rPr>
              <w:t>a</w:t>
            </w:r>
            <w:r w:rsidRPr="00EB1A89">
              <w:rPr>
                <w:color w:val="000000"/>
              </w:rPr>
              <w:t xml:space="preserve"> Związku Przedsiębiorców i Pracodawców;</w:t>
            </w:r>
          </w:p>
          <w:p w14:paraId="7F983DBC" w14:textId="62A777B9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1A89">
              <w:rPr>
                <w:color w:val="000000"/>
              </w:rPr>
              <w:t>Prezes</w:t>
            </w:r>
            <w:r>
              <w:rPr>
                <w:color w:val="000000"/>
              </w:rPr>
              <w:t>a</w:t>
            </w:r>
            <w:r w:rsidRPr="00EB1A89">
              <w:rPr>
                <w:color w:val="000000"/>
              </w:rPr>
              <w:t xml:space="preserve"> Związku Rzemiosła Polskiego;</w:t>
            </w:r>
          </w:p>
          <w:p w14:paraId="0E85641D" w14:textId="4DA8F203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1A89">
              <w:rPr>
                <w:color w:val="000000"/>
              </w:rPr>
              <w:t>Prezydent</w:t>
            </w:r>
            <w:r>
              <w:rPr>
                <w:color w:val="000000"/>
              </w:rPr>
              <w:t>a</w:t>
            </w:r>
            <w:r w:rsidRPr="00EB1A89">
              <w:rPr>
                <w:color w:val="000000"/>
              </w:rPr>
              <w:t xml:space="preserve"> Konfederacji Lewiatan;</w:t>
            </w:r>
          </w:p>
          <w:p w14:paraId="2E5E681B" w14:textId="655935F4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1A89">
              <w:rPr>
                <w:color w:val="000000"/>
              </w:rPr>
              <w:t>Prezydent</w:t>
            </w:r>
            <w:r>
              <w:rPr>
                <w:color w:val="000000"/>
              </w:rPr>
              <w:t>a</w:t>
            </w:r>
            <w:r w:rsidRPr="00EB1A89">
              <w:rPr>
                <w:color w:val="000000"/>
              </w:rPr>
              <w:t xml:space="preserve"> Pracodawców RP;</w:t>
            </w:r>
          </w:p>
          <w:p w14:paraId="76CC96CB" w14:textId="4BDD318E" w:rsidR="00EB1A89" w:rsidRPr="00EB1A89" w:rsidRDefault="00EB1A89" w:rsidP="00EB1A89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  <w:r w:rsidRPr="00EB1A89">
              <w:rPr>
                <w:color w:val="000000"/>
              </w:rPr>
              <w:t>Przewodnicząc</w:t>
            </w:r>
            <w:r>
              <w:rPr>
                <w:color w:val="000000"/>
              </w:rPr>
              <w:t>ego</w:t>
            </w:r>
            <w:r w:rsidRPr="00EB1A89">
              <w:rPr>
                <w:color w:val="000000"/>
              </w:rPr>
              <w:t xml:space="preserve"> Fed</w:t>
            </w:r>
            <w:r>
              <w:rPr>
                <w:color w:val="000000"/>
              </w:rPr>
              <w:t>eracji Przedsiębiorców Polskich.</w:t>
            </w:r>
          </w:p>
          <w:p w14:paraId="3A849458" w14:textId="77777777" w:rsidR="00EB1A89" w:rsidRDefault="00EB1A89" w:rsidP="00EB1A89">
            <w:pPr>
              <w:widowControl/>
              <w:autoSpaceDE/>
              <w:autoSpaceDN/>
              <w:adjustRightInd/>
              <w:spacing w:line="240" w:lineRule="auto"/>
              <w:ind w:left="360"/>
              <w:jc w:val="both"/>
              <w:rPr>
                <w:color w:val="000000"/>
              </w:rPr>
            </w:pPr>
          </w:p>
          <w:p w14:paraId="387471F3" w14:textId="77777777" w:rsidR="00AA7E74" w:rsidRPr="00AA7E74" w:rsidRDefault="00AA7E74" w:rsidP="00AA7E74">
            <w:pPr>
              <w:widowControl/>
              <w:autoSpaceDE/>
              <w:autoSpaceDN/>
              <w:adjustRightInd/>
              <w:spacing w:line="240" w:lineRule="auto"/>
              <w:jc w:val="both"/>
              <w:rPr>
                <w:color w:val="000000"/>
              </w:rPr>
            </w:pPr>
          </w:p>
          <w:p w14:paraId="03933637" w14:textId="7D7EDED5" w:rsidR="00655F2D" w:rsidRDefault="00F81BC2" w:rsidP="00AA7E74">
            <w:pPr>
              <w:pStyle w:val="Tekstkomentarza"/>
              <w:jc w:val="both"/>
              <w:rPr>
                <w:lang w:eastAsia="en-US"/>
              </w:rPr>
            </w:pPr>
            <w:r w:rsidRPr="006B6A13">
              <w:rPr>
                <w:lang w:eastAsia="en-US"/>
              </w:rPr>
              <w:t>Projekt zosta</w:t>
            </w:r>
            <w:r w:rsidR="00967CE8">
              <w:t>ł</w:t>
            </w:r>
            <w:r w:rsidRPr="006B6A13">
              <w:rPr>
                <w:lang w:eastAsia="en-US"/>
              </w:rPr>
              <w:t xml:space="preserve"> udostępniony w Biuletynie Informacji Publicznej Rządowego Centrum Legislacji w zakładce „Rządowy </w:t>
            </w:r>
            <w:r w:rsidR="00655F2D">
              <w:rPr>
                <w:lang w:eastAsia="en-US"/>
              </w:rPr>
              <w:t>P</w:t>
            </w:r>
            <w:r w:rsidRPr="006B6A13">
              <w:rPr>
                <w:lang w:eastAsia="en-US"/>
              </w:rPr>
              <w:t xml:space="preserve">roces </w:t>
            </w:r>
            <w:r w:rsidR="00655F2D">
              <w:rPr>
                <w:lang w:eastAsia="en-US"/>
              </w:rPr>
              <w:t>L</w:t>
            </w:r>
            <w:r w:rsidRPr="006B6A13">
              <w:rPr>
                <w:lang w:eastAsia="en-US"/>
              </w:rPr>
              <w:t>egislacyjny”</w:t>
            </w:r>
            <w:r w:rsidR="00132A15">
              <w:rPr>
                <w:lang w:eastAsia="en-US"/>
              </w:rPr>
              <w:t xml:space="preserve"> oraz w </w:t>
            </w:r>
            <w:r w:rsidR="00132A15">
              <w:t xml:space="preserve">Biuletynie </w:t>
            </w:r>
            <w:r w:rsidR="00132A15" w:rsidRPr="00655F2D">
              <w:t>Informacji Publicznej Głównego Urzędu Geodezji i Kartografii</w:t>
            </w:r>
            <w:r w:rsidR="00132A15">
              <w:t>.</w:t>
            </w:r>
            <w:r w:rsidR="00523F1A">
              <w:rPr>
                <w:lang w:eastAsia="en-US"/>
              </w:rPr>
              <w:t xml:space="preserve"> </w:t>
            </w:r>
          </w:p>
          <w:p w14:paraId="41938916" w14:textId="20052847" w:rsidR="00F81BC2" w:rsidRPr="00171C74" w:rsidRDefault="00967CE8" w:rsidP="00EB1A89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Czas na zgłaszanie uwag w toku k</w:t>
            </w:r>
            <w:r w:rsidR="00523F1A">
              <w:rPr>
                <w:rFonts w:ascii="Times New Roman" w:hAnsi="Times New Roman"/>
              </w:rPr>
              <w:t>onsultacj</w:t>
            </w:r>
            <w:r w:rsidR="00655F2D">
              <w:rPr>
                <w:rFonts w:ascii="Times New Roman" w:hAnsi="Times New Roman"/>
              </w:rPr>
              <w:t>i</w:t>
            </w:r>
            <w:r w:rsidR="00523F1A">
              <w:rPr>
                <w:rFonts w:ascii="Times New Roman" w:hAnsi="Times New Roman"/>
              </w:rPr>
              <w:t xml:space="preserve"> </w:t>
            </w:r>
            <w:r w:rsidR="00655F2D">
              <w:rPr>
                <w:rFonts w:ascii="Times New Roman" w:hAnsi="Times New Roman"/>
              </w:rPr>
              <w:t>publicznych</w:t>
            </w:r>
            <w:r w:rsidR="00523F1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oraz opiniowania wynosił </w:t>
            </w:r>
            <w:r w:rsidR="00523F1A">
              <w:rPr>
                <w:rFonts w:ascii="Times New Roman" w:hAnsi="Times New Roman"/>
              </w:rPr>
              <w:t>14 dni</w:t>
            </w:r>
            <w:r>
              <w:rPr>
                <w:rFonts w:ascii="Times New Roman" w:hAnsi="Times New Roman"/>
              </w:rPr>
              <w:t xml:space="preserve"> od dnia otrzymania projektu</w:t>
            </w:r>
            <w:r w:rsidR="00523F1A">
              <w:rPr>
                <w:rFonts w:ascii="Times New Roman" w:hAnsi="Times New Roman"/>
              </w:rPr>
              <w:t>.</w:t>
            </w:r>
          </w:p>
        </w:tc>
      </w:tr>
      <w:tr w:rsidR="00F81BC2" w:rsidRPr="00171C74" w14:paraId="073ACFA7" w14:textId="77777777" w:rsidTr="002B40E8">
        <w:trPr>
          <w:trHeight w:val="363"/>
        </w:trPr>
        <w:tc>
          <w:tcPr>
            <w:tcW w:w="9356" w:type="dxa"/>
            <w:gridSpan w:val="28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7836807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171C74">
              <w:rPr>
                <w:lang w:eastAsia="en-US"/>
              </w:rPr>
              <w:t xml:space="preserve"> </w:t>
            </w:r>
            <w:r w:rsidRPr="00F506C0">
              <w:rPr>
                <w:rStyle w:val="Ppogrubienie"/>
              </w:rPr>
              <w:t xml:space="preserve">6. </w:t>
            </w:r>
            <w:r w:rsidRPr="00F506C0">
              <w:rPr>
                <w:rStyle w:val="Ppogrubienie"/>
                <w:lang w:eastAsia="en-US"/>
              </w:rPr>
              <w:t>Wpływ na sektor finansów publicznych</w:t>
            </w:r>
          </w:p>
        </w:tc>
      </w:tr>
      <w:tr w:rsidR="00F81BC2" w:rsidRPr="00171C74" w14:paraId="4BF6B795" w14:textId="77777777" w:rsidTr="002B40E8">
        <w:trPr>
          <w:trHeight w:val="142"/>
        </w:trPr>
        <w:tc>
          <w:tcPr>
            <w:tcW w:w="1985" w:type="dxa"/>
            <w:gridSpan w:val="3"/>
            <w:vMerge w:val="restart"/>
            <w:shd w:val="clear" w:color="auto" w:fill="FFFFFF"/>
          </w:tcPr>
          <w:p w14:paraId="763CFDE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71" w:type="dxa"/>
            <w:gridSpan w:val="25"/>
            <w:shd w:val="clear" w:color="auto" w:fill="FFFFFF"/>
          </w:tcPr>
          <w:p w14:paraId="1CE6592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Skutki w okresie 10 lat od wejścia w życie zmian [mln zł]</w:t>
            </w:r>
          </w:p>
        </w:tc>
      </w:tr>
      <w:tr w:rsidR="00F81BC2" w:rsidRPr="00171C74" w14:paraId="4309E400" w14:textId="77777777" w:rsidTr="002B40E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"/>
        </w:trPr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B27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135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D7B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123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E10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B3B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5C1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5AF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48B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7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864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E82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F22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1DF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Łącznie (0-10)</w:t>
            </w:r>
          </w:p>
        </w:tc>
      </w:tr>
      <w:tr w:rsidR="00F81BC2" w:rsidRPr="00171C74" w14:paraId="00C83410" w14:textId="77777777" w:rsidTr="002B40E8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6D7CA838" w14:textId="77777777" w:rsidR="00F81BC2" w:rsidRPr="00D806B5" w:rsidRDefault="00F81BC2" w:rsidP="00E66F2F">
            <w:pPr>
              <w:spacing w:line="276" w:lineRule="auto"/>
            </w:pPr>
            <w:r w:rsidRPr="00D806B5">
              <w:t>Dochody ogółem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24E4C7A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0D8BFF4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648F976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8970D96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5F13F02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30B11F6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ABCC2DC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68C707A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4C3CA38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6318E47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562BFBA7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706228E8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</w:tr>
      <w:tr w:rsidR="00F81BC2" w:rsidRPr="00171C74" w14:paraId="6DA4DD61" w14:textId="77777777" w:rsidTr="002B40E8">
        <w:trPr>
          <w:trHeight w:val="321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1B81ECF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budżet państwa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26C2DB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B23ED4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C53EE0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1ADF65F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757DCB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0BB61D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FA4B37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C85D7F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5B9E7C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7FCC19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69B759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74FB742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4D0E2F4F" w14:textId="77777777" w:rsidTr="002B40E8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68CDB5F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JST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6CABBF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1A98E60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6BCFCA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B3533F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3164A8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9366D7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813610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A7F073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6458EF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58B8C6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3596151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shd w:val="clear" w:color="auto" w:fill="FFFFFF"/>
          </w:tcPr>
          <w:p w14:paraId="59B3429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32F0DC36" w14:textId="77777777" w:rsidTr="002B40E8">
        <w:trPr>
          <w:trHeight w:val="344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3439DA1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Pozostałe jednostki (oddzielnie)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A708FE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3B4C775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F8A2A5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286B26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477FE9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A6F2F4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675FF7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7D5C96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F9C3A1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76DCE7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2A95742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4296EC3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5C522181" w14:textId="77777777" w:rsidTr="002B40E8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5D3CE27A" w14:textId="77777777" w:rsidR="00F81BC2" w:rsidRPr="00D806B5" w:rsidRDefault="00F81BC2" w:rsidP="00E66F2F">
            <w:pPr>
              <w:spacing w:line="276" w:lineRule="auto"/>
            </w:pPr>
            <w:r w:rsidRPr="00D806B5">
              <w:t>Wydatki ogółem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3C93A84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59D68569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5C8F479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59578BF0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EA0690E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AEB0305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4DFB4D9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529E775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3A172A8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3B87A50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17391C64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0502ED31" w14:textId="77777777" w:rsidR="00F81BC2" w:rsidRPr="00D806B5" w:rsidRDefault="00F81BC2" w:rsidP="00E66F2F">
            <w:pPr>
              <w:spacing w:line="276" w:lineRule="auto"/>
            </w:pPr>
            <w:r>
              <w:t>0</w:t>
            </w:r>
          </w:p>
        </w:tc>
      </w:tr>
      <w:tr w:rsidR="00F81BC2" w:rsidRPr="00171C74" w14:paraId="602D92DA" w14:textId="77777777" w:rsidTr="002B40E8">
        <w:trPr>
          <w:trHeight w:val="330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55DC2E4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budżet państwa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AE725A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109CD17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B1D5D1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088E31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E7BE78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26D220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FBEF1D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B5148E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865D64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5DA22E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0C79F23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3D4D792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62FBFC96" w14:textId="77777777" w:rsidTr="002B40E8">
        <w:trPr>
          <w:trHeight w:val="351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4F678C3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JST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279E2D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2900C81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E09271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02CBC0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F360DE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7BFCA4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3BF051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23234C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B1F2A0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59B4A4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17E089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0B1C97E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3C4C9034" w14:textId="77777777" w:rsidTr="002B40E8">
        <w:trPr>
          <w:trHeight w:val="351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781602D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Pozostałe jednostki (oddzielnie)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F7912E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2D8204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185B52A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027FC5F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ADA45A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2AF2F5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5B7664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7DBBDE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41160B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9B955B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619BDD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0493FC8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1B1A6939" w14:textId="77777777" w:rsidTr="002B40E8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6044F2B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Saldo ogółem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01FDF1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1BE97A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7CCA5C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4100A17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03FAB8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35A4043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043090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6BE10D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4998E2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1EE696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524E26A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1B2CA74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447957F0" w14:textId="77777777" w:rsidTr="002B40E8">
        <w:trPr>
          <w:trHeight w:val="360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5F43710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budżet państwa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9549BD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DEAA58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DDDD90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32DBD46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670851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5AE2E4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5633183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135B4F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46BB17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284A86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263D724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1E552BA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6E179D70" w14:textId="77777777" w:rsidTr="002B40E8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7E2F6A5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JST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C0F6D2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6DBAAE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438B7E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6EF53F7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18F8FF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0B91EBE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8134D6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78DAF3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18733A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AD6999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05CF079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72637F4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</w:tr>
      <w:tr w:rsidR="00F81BC2" w:rsidRPr="00171C74" w14:paraId="2E038FE5" w14:textId="77777777" w:rsidTr="002B40E8">
        <w:trPr>
          <w:trHeight w:val="357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1AFFC44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Pozostałe jednostki (oddzielnie)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6118C11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0DB544A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7E17DA0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41498E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539FBA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C772E2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733144E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42D7CD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201AB74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BF68FC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567" w:type="dxa"/>
            <w:shd w:val="clear" w:color="auto" w:fill="FFFFFF"/>
          </w:tcPr>
          <w:p w14:paraId="7CF60BA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0</w:t>
            </w:r>
          </w:p>
        </w:tc>
        <w:tc>
          <w:tcPr>
            <w:tcW w:w="1134" w:type="dxa"/>
            <w:shd w:val="clear" w:color="auto" w:fill="FFFFFF"/>
          </w:tcPr>
          <w:p w14:paraId="062AAB8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6A1C8802" w14:textId="77777777" w:rsidTr="002B40E8">
        <w:trPr>
          <w:trHeight w:val="348"/>
        </w:trPr>
        <w:tc>
          <w:tcPr>
            <w:tcW w:w="1985" w:type="dxa"/>
            <w:gridSpan w:val="3"/>
            <w:shd w:val="clear" w:color="auto" w:fill="FFFFFF"/>
            <w:vAlign w:val="center"/>
          </w:tcPr>
          <w:p w14:paraId="59B417F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Źródła finansowania </w:t>
            </w:r>
          </w:p>
        </w:tc>
        <w:tc>
          <w:tcPr>
            <w:tcW w:w="7371" w:type="dxa"/>
            <w:gridSpan w:val="25"/>
            <w:shd w:val="clear" w:color="auto" w:fill="FFFFFF"/>
            <w:vAlign w:val="center"/>
          </w:tcPr>
          <w:p w14:paraId="6D08150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Wejście w życie projektowanych przepisów nie spowoduje skutków finansowych dla jednostek sektora finansów publicznych.</w:t>
            </w:r>
          </w:p>
        </w:tc>
      </w:tr>
      <w:tr w:rsidR="00F81BC2" w:rsidRPr="00171C74" w14:paraId="383E76FD" w14:textId="77777777" w:rsidTr="002B40E8">
        <w:trPr>
          <w:trHeight w:val="408"/>
        </w:trPr>
        <w:tc>
          <w:tcPr>
            <w:tcW w:w="1985" w:type="dxa"/>
            <w:gridSpan w:val="3"/>
            <w:shd w:val="clear" w:color="auto" w:fill="FFFFFF"/>
          </w:tcPr>
          <w:p w14:paraId="639AB155" w14:textId="77777777" w:rsidR="00F81BC2" w:rsidRPr="00171C74" w:rsidRDefault="00F81BC2" w:rsidP="00E66F2F">
            <w:pPr>
              <w:pStyle w:val="NIEARTTEKSTtekstnieartykuowanynppodstprawnarozplubpreambua"/>
              <w:spacing w:line="276" w:lineRule="auto"/>
              <w:ind w:firstLine="0"/>
            </w:pPr>
            <w:r w:rsidRPr="00171C74">
              <w:rPr>
                <w:lang w:eastAsia="en-US"/>
              </w:rPr>
              <w:t xml:space="preserve">Dodatkowe informacje, w tym wskazanie źródeł </w:t>
            </w:r>
            <w:r>
              <w:rPr>
                <w:lang w:eastAsia="en-US"/>
              </w:rPr>
              <w:t>danych</w:t>
            </w:r>
            <w:r>
              <w:t xml:space="preserve"> </w:t>
            </w:r>
            <w:r w:rsidRPr="00171C74">
              <w:rPr>
                <w:lang w:eastAsia="en-US"/>
              </w:rPr>
              <w:t>i przyjętych do obliczeń założeń</w:t>
            </w:r>
          </w:p>
        </w:tc>
        <w:tc>
          <w:tcPr>
            <w:tcW w:w="7371" w:type="dxa"/>
            <w:gridSpan w:val="25"/>
            <w:shd w:val="clear" w:color="auto" w:fill="FFFFFF"/>
          </w:tcPr>
          <w:p w14:paraId="4091E657" w14:textId="77777777" w:rsidR="00F81BC2" w:rsidRPr="00171C74" w:rsidRDefault="00F81BC2" w:rsidP="00E66F2F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>
              <w:t>-</w:t>
            </w:r>
          </w:p>
        </w:tc>
      </w:tr>
      <w:tr w:rsidR="00F81BC2" w:rsidRPr="00171C74" w14:paraId="5705654A" w14:textId="77777777" w:rsidTr="002B40E8">
        <w:trPr>
          <w:trHeight w:val="345"/>
        </w:trPr>
        <w:tc>
          <w:tcPr>
            <w:tcW w:w="9356" w:type="dxa"/>
            <w:gridSpan w:val="28"/>
            <w:shd w:val="clear" w:color="auto" w:fill="99CCFF"/>
          </w:tcPr>
          <w:p w14:paraId="4F67AA84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7. </w:t>
            </w:r>
            <w:r w:rsidRPr="00F506C0">
              <w:rPr>
                <w:rStyle w:val="Ppogrubienie"/>
                <w:lang w:eastAsia="en-US"/>
              </w:rPr>
              <w:t xml:space="preserve">Wpływ na konkurencyjność gospodarki i przedsiębiorczość, w tym funkcjonowanie przedsiębiorców oraz na rodzinę, obywateli i gospodarstwa domowe </w:t>
            </w:r>
          </w:p>
        </w:tc>
      </w:tr>
      <w:tr w:rsidR="00F81BC2" w:rsidRPr="00171C74" w14:paraId="2CB20C13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050BB1D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Skutki</w:t>
            </w:r>
          </w:p>
        </w:tc>
      </w:tr>
      <w:tr w:rsidR="00F81BC2" w:rsidRPr="00171C74" w14:paraId="182964EE" w14:textId="77777777" w:rsidTr="00AD4757">
        <w:trPr>
          <w:trHeight w:val="142"/>
        </w:trPr>
        <w:tc>
          <w:tcPr>
            <w:tcW w:w="4537" w:type="dxa"/>
            <w:gridSpan w:val="12"/>
            <w:shd w:val="clear" w:color="auto" w:fill="FFFFFF"/>
          </w:tcPr>
          <w:p w14:paraId="45860A9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Czas w latach od wejścia w życie zmian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25247C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0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6999A61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1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4684BA2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2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6CE6848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3</w:t>
            </w:r>
          </w:p>
        </w:tc>
        <w:tc>
          <w:tcPr>
            <w:tcW w:w="425" w:type="dxa"/>
            <w:shd w:val="clear" w:color="auto" w:fill="FFFFFF"/>
          </w:tcPr>
          <w:p w14:paraId="6276C30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5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0125906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10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1920BE18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Łącznie</w:t>
            </w:r>
            <w:r w:rsidRPr="00171C74" w:rsidDel="0073273A">
              <w:rPr>
                <w:lang w:eastAsia="en-US"/>
              </w:rPr>
              <w:t xml:space="preserve"> </w:t>
            </w:r>
            <w:r w:rsidRPr="00171C74">
              <w:rPr>
                <w:lang w:eastAsia="en-US"/>
              </w:rPr>
              <w:t>(0</w:t>
            </w:r>
            <w:r>
              <w:rPr>
                <w:lang w:eastAsia="en-US"/>
              </w:rPr>
              <w:t>-10</w:t>
            </w:r>
            <w:r>
              <w:t>)</w:t>
            </w:r>
          </w:p>
        </w:tc>
      </w:tr>
      <w:tr w:rsidR="00F81BC2" w:rsidRPr="00171C74" w14:paraId="1915DF63" w14:textId="77777777" w:rsidTr="00AD4757">
        <w:trPr>
          <w:trHeight w:val="142"/>
        </w:trPr>
        <w:tc>
          <w:tcPr>
            <w:tcW w:w="1702" w:type="dxa"/>
            <w:gridSpan w:val="2"/>
            <w:vMerge w:val="restart"/>
            <w:shd w:val="clear" w:color="auto" w:fill="FFFFFF"/>
          </w:tcPr>
          <w:p w14:paraId="0711C50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W ujęciu pieniężnym</w:t>
            </w:r>
          </w:p>
          <w:p w14:paraId="4FBFA4F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(w mln zł, </w:t>
            </w:r>
          </w:p>
          <w:p w14:paraId="0627B77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ceny stałe z …… r.)</w:t>
            </w:r>
          </w:p>
        </w:tc>
        <w:tc>
          <w:tcPr>
            <w:tcW w:w="2835" w:type="dxa"/>
            <w:gridSpan w:val="10"/>
            <w:shd w:val="clear" w:color="auto" w:fill="FFFFFF"/>
          </w:tcPr>
          <w:p w14:paraId="3CB6F0D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duże przedsiębiorstwa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142CF1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0B103EF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094B47E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811D35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shd w:val="clear" w:color="auto" w:fill="FFFFFF"/>
          </w:tcPr>
          <w:p w14:paraId="4EE57E7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55311DC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58503BE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</w:tr>
      <w:tr w:rsidR="00F81BC2" w:rsidRPr="00171C74" w14:paraId="6D5A57AA" w14:textId="77777777" w:rsidTr="00AD4757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772798B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451B078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sektor mikro-, małych i średnich przedsiębiorstw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38FC14D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39B762C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4B563A3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460572A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shd w:val="clear" w:color="auto" w:fill="FFFFFF"/>
          </w:tcPr>
          <w:p w14:paraId="5A0D575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CDCDEE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505F26A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</w:tr>
      <w:tr w:rsidR="00F81BC2" w:rsidRPr="00171C74" w14:paraId="748F33D5" w14:textId="77777777" w:rsidTr="00AD4757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3DE1F8C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211223B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rodzina, obywatele oraz gospodarstwa domowe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FF1F901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10EA720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0D2662F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14B0974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shd w:val="clear" w:color="auto" w:fill="FFFFFF"/>
          </w:tcPr>
          <w:p w14:paraId="55A8FD1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F0294A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310DAC1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</w:tr>
      <w:tr w:rsidR="00F81BC2" w:rsidRPr="00171C74" w14:paraId="3815A0F6" w14:textId="77777777" w:rsidTr="00AD4757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34C477E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7038A6C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t>(dodaj/usuń)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862A2D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54" w:type="dxa"/>
            <w:gridSpan w:val="2"/>
            <w:shd w:val="clear" w:color="auto" w:fill="FFFFFF"/>
          </w:tcPr>
          <w:p w14:paraId="0B0DF2D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gridSpan w:val="2"/>
            <w:shd w:val="clear" w:color="auto" w:fill="FFFFFF"/>
          </w:tcPr>
          <w:p w14:paraId="3129E8B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2"/>
            <w:shd w:val="clear" w:color="auto" w:fill="FFFFFF"/>
          </w:tcPr>
          <w:p w14:paraId="2FD085D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425" w:type="dxa"/>
            <w:shd w:val="clear" w:color="auto" w:fill="FFFFFF"/>
          </w:tcPr>
          <w:p w14:paraId="6DAAB9F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gridSpan w:val="3"/>
            <w:shd w:val="clear" w:color="auto" w:fill="FFFFFF"/>
          </w:tcPr>
          <w:p w14:paraId="49ADB33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  <w:tc>
          <w:tcPr>
            <w:tcW w:w="1814" w:type="dxa"/>
            <w:gridSpan w:val="3"/>
            <w:shd w:val="clear" w:color="auto" w:fill="FFFFFF"/>
          </w:tcPr>
          <w:p w14:paraId="27C12783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>
              <w:t>-</w:t>
            </w:r>
          </w:p>
        </w:tc>
      </w:tr>
      <w:tr w:rsidR="00E05172" w:rsidRPr="00171C74" w14:paraId="10DA0692" w14:textId="77777777" w:rsidTr="002B40E8">
        <w:trPr>
          <w:trHeight w:val="142"/>
        </w:trPr>
        <w:tc>
          <w:tcPr>
            <w:tcW w:w="1702" w:type="dxa"/>
            <w:gridSpan w:val="2"/>
            <w:vMerge w:val="restart"/>
            <w:shd w:val="clear" w:color="auto" w:fill="FFFFFF"/>
          </w:tcPr>
          <w:p w14:paraId="30CCC513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  <w:r w:rsidRPr="00197A18">
              <w:rPr>
                <w:lang w:eastAsia="en-US"/>
              </w:rPr>
              <w:t>W ujęciu niepieniężnym</w:t>
            </w:r>
          </w:p>
        </w:tc>
        <w:tc>
          <w:tcPr>
            <w:tcW w:w="2835" w:type="dxa"/>
            <w:gridSpan w:val="10"/>
            <w:shd w:val="clear" w:color="auto" w:fill="FFFFFF"/>
          </w:tcPr>
          <w:p w14:paraId="3AB13D39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duże przedsiębiorstwa</w:t>
            </w:r>
          </w:p>
        </w:tc>
        <w:tc>
          <w:tcPr>
            <w:tcW w:w="4819" w:type="dxa"/>
            <w:gridSpan w:val="16"/>
            <w:vMerge w:val="restart"/>
            <w:shd w:val="clear" w:color="auto" w:fill="FFFFFF"/>
          </w:tcPr>
          <w:p w14:paraId="3C868CF2" w14:textId="77777777" w:rsidR="00E05172" w:rsidRPr="00171C74" w:rsidRDefault="00E05172" w:rsidP="004A4E01">
            <w:pPr>
              <w:spacing w:line="276" w:lineRule="auto"/>
              <w:jc w:val="both"/>
              <w:rPr>
                <w:lang w:eastAsia="en-US"/>
              </w:rPr>
            </w:pPr>
            <w:r>
              <w:t xml:space="preserve">Projekt nie nakłada na przedsiębiorców nowych obowiązków </w:t>
            </w:r>
            <w:r w:rsidR="00CD4C72">
              <w:t xml:space="preserve">i </w:t>
            </w:r>
            <w:r>
              <w:t>wym</w:t>
            </w:r>
            <w:r w:rsidR="00CD4C72">
              <w:t>agań</w:t>
            </w:r>
            <w:r>
              <w:t xml:space="preserve">, które nie </w:t>
            </w:r>
            <w:r w:rsidR="00CD4C72">
              <w:t>zostały</w:t>
            </w:r>
            <w:r>
              <w:t xml:space="preserve"> przewidziane w ustawie. </w:t>
            </w:r>
          </w:p>
        </w:tc>
      </w:tr>
      <w:tr w:rsidR="00E05172" w:rsidRPr="00171C74" w14:paraId="33D5B85D" w14:textId="77777777" w:rsidTr="002B40E8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173ABCAC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4364DDB6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sektor mikro-, małych i średnich przedsiębiorstw</w:t>
            </w:r>
          </w:p>
        </w:tc>
        <w:tc>
          <w:tcPr>
            <w:tcW w:w="4819" w:type="dxa"/>
            <w:gridSpan w:val="16"/>
            <w:vMerge/>
            <w:shd w:val="clear" w:color="auto" w:fill="FFFFFF"/>
          </w:tcPr>
          <w:p w14:paraId="0F9A770C" w14:textId="77777777" w:rsidR="00E05172" w:rsidRPr="00171C74" w:rsidRDefault="00E0517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6B022E3B" w14:textId="77777777" w:rsidTr="002B40E8">
        <w:trPr>
          <w:trHeight w:val="596"/>
        </w:trPr>
        <w:tc>
          <w:tcPr>
            <w:tcW w:w="1702" w:type="dxa"/>
            <w:gridSpan w:val="2"/>
            <w:vMerge/>
            <w:shd w:val="clear" w:color="auto" w:fill="FFFFFF"/>
          </w:tcPr>
          <w:p w14:paraId="290E99A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302A968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rodzina, obywatele oraz gospodarstwa domowe </w:t>
            </w:r>
          </w:p>
        </w:tc>
        <w:tc>
          <w:tcPr>
            <w:tcW w:w="4819" w:type="dxa"/>
            <w:gridSpan w:val="16"/>
            <w:shd w:val="clear" w:color="auto" w:fill="FFFFFF"/>
          </w:tcPr>
          <w:p w14:paraId="6CDCBB16" w14:textId="370D2C25" w:rsidR="00F81BC2" w:rsidRPr="00171C74" w:rsidRDefault="00E05172" w:rsidP="00E66F2F">
            <w:pPr>
              <w:spacing w:line="276" w:lineRule="auto"/>
              <w:rPr>
                <w:lang w:eastAsia="en-US"/>
              </w:rPr>
            </w:pPr>
            <w:r>
              <w:t>Regulacje nie mają bezpośredniego wpływu na rodzinę, obywateli i gospodarstwa domowe</w:t>
            </w:r>
            <w:r w:rsidR="00EF55E7">
              <w:t>,</w:t>
            </w:r>
            <w:r>
              <w:t xml:space="preserve"> w tym na sytuację ekonomiczną i społeczną rodziny, a także osób niepełnosprawnych oraz osób starszych.</w:t>
            </w:r>
          </w:p>
        </w:tc>
      </w:tr>
      <w:tr w:rsidR="00F81BC2" w:rsidRPr="00171C74" w14:paraId="0C653FFB" w14:textId="77777777" w:rsidTr="002B40E8">
        <w:trPr>
          <w:trHeight w:val="240"/>
        </w:trPr>
        <w:tc>
          <w:tcPr>
            <w:tcW w:w="1702" w:type="dxa"/>
            <w:gridSpan w:val="2"/>
            <w:vMerge/>
            <w:shd w:val="clear" w:color="auto" w:fill="FFFFFF"/>
          </w:tcPr>
          <w:p w14:paraId="4DB4755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1F0721DE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t>(dodaj/usuń)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4819" w:type="dxa"/>
            <w:gridSpan w:val="16"/>
            <w:shd w:val="clear" w:color="auto" w:fill="FFFFFF"/>
          </w:tcPr>
          <w:p w14:paraId="6FAAF42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5C7F4E1F" w14:textId="77777777" w:rsidTr="002B40E8">
        <w:trPr>
          <w:trHeight w:val="142"/>
        </w:trPr>
        <w:tc>
          <w:tcPr>
            <w:tcW w:w="1702" w:type="dxa"/>
            <w:gridSpan w:val="2"/>
            <w:vMerge w:val="restart"/>
            <w:shd w:val="clear" w:color="auto" w:fill="FFFFFF"/>
          </w:tcPr>
          <w:p w14:paraId="2354427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Niemierzalne</w:t>
            </w:r>
          </w:p>
        </w:tc>
        <w:tc>
          <w:tcPr>
            <w:tcW w:w="2835" w:type="dxa"/>
            <w:gridSpan w:val="10"/>
            <w:shd w:val="clear" w:color="auto" w:fill="FFFFFF"/>
          </w:tcPr>
          <w:p w14:paraId="7287D27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t>(dodaj/usuń)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4819" w:type="dxa"/>
            <w:gridSpan w:val="16"/>
            <w:shd w:val="clear" w:color="auto" w:fill="FFFFFF"/>
          </w:tcPr>
          <w:p w14:paraId="5FA1C7E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360A276A" w14:textId="77777777" w:rsidTr="002B40E8">
        <w:trPr>
          <w:trHeight w:val="142"/>
        </w:trPr>
        <w:tc>
          <w:tcPr>
            <w:tcW w:w="1702" w:type="dxa"/>
            <w:gridSpan w:val="2"/>
            <w:vMerge/>
            <w:shd w:val="clear" w:color="auto" w:fill="FFFFFF"/>
          </w:tcPr>
          <w:p w14:paraId="1AE4ED9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835" w:type="dxa"/>
            <w:gridSpan w:val="10"/>
            <w:shd w:val="clear" w:color="auto" w:fill="FFFFFF"/>
          </w:tcPr>
          <w:p w14:paraId="5B7C0DD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/>
                  <w:exitMacro w:val="UpdateHeader"/>
                  <w:helpText w:type="text" w:val="Wpisz na jaką grupę docelową będzie miała wpływ projektowana regulacja. Możesz zawężić zakres grupy przez doprecyzowanie: np &quot;małe i średnie przedsiębiorstwa rozliczające się metodą kasową z podatku VAT&quot;"/>
                  <w:statusText w:type="text" w:val="Wpisz na jaką grupę docelową będzie miała wpływ projektowana regulacja"/>
                  <w:textInput>
                    <w:default w:val="(dodaj/usuń)"/>
                    <w:maxLength w:val="1000"/>
                  </w:textInput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t>(dodaj/usuń)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4819" w:type="dxa"/>
            <w:gridSpan w:val="16"/>
            <w:shd w:val="clear" w:color="auto" w:fill="FFFFFF"/>
          </w:tcPr>
          <w:p w14:paraId="412B5289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</w:p>
        </w:tc>
      </w:tr>
      <w:tr w:rsidR="00F81BC2" w:rsidRPr="00171C74" w14:paraId="5F546A4A" w14:textId="77777777" w:rsidTr="002B40E8">
        <w:trPr>
          <w:trHeight w:val="1643"/>
        </w:trPr>
        <w:tc>
          <w:tcPr>
            <w:tcW w:w="2269" w:type="dxa"/>
            <w:gridSpan w:val="5"/>
            <w:shd w:val="clear" w:color="auto" w:fill="FFFFFF"/>
          </w:tcPr>
          <w:p w14:paraId="3E96D896" w14:textId="77777777" w:rsidR="00F81BC2" w:rsidRPr="00171C74" w:rsidRDefault="00F81BC2" w:rsidP="00E66F2F">
            <w:pPr>
              <w:pStyle w:val="NIEARTTEKSTtekstnieartykuowanynppodstprawnarozplubpreambua"/>
              <w:spacing w:line="276" w:lineRule="auto"/>
              <w:ind w:firstLine="0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Dodatkowe informacje, w tym wskazanie źródeł danych i przyjętych do obliczeń założeń </w:t>
            </w:r>
          </w:p>
        </w:tc>
        <w:tc>
          <w:tcPr>
            <w:tcW w:w="7087" w:type="dxa"/>
            <w:gridSpan w:val="23"/>
            <w:shd w:val="clear" w:color="auto" w:fill="FFFFFF"/>
            <w:vAlign w:val="center"/>
          </w:tcPr>
          <w:p w14:paraId="3BFFCC7B" w14:textId="0F6347BC" w:rsidR="00E17605" w:rsidRPr="00E17605" w:rsidRDefault="00E05172" w:rsidP="00E05172">
            <w:pPr>
              <w:spacing w:line="276" w:lineRule="auto"/>
              <w:rPr>
                <w:lang w:eastAsia="en-US"/>
              </w:rPr>
            </w:pPr>
            <w:r>
              <w:t>Projekt rozporządzenia jest zgodny z przepisami ustawy z dnia 6 marca 2018 r. – Prawo przedsiębiorców (Dz. U. z 2019 r. poz.1292, z późn. zm.) i nie nakłada na przedsiębiorców żadnych nowych obowiązków administracyjnych, w związku z powyższym nie występuje konieczność zastosowania ograniczeń, o których mowa w art. 68 ww. ustawy.</w:t>
            </w:r>
          </w:p>
        </w:tc>
      </w:tr>
      <w:tr w:rsidR="00F81BC2" w:rsidRPr="00171C74" w14:paraId="467641AA" w14:textId="77777777" w:rsidTr="002B40E8">
        <w:trPr>
          <w:trHeight w:val="342"/>
        </w:trPr>
        <w:tc>
          <w:tcPr>
            <w:tcW w:w="9356" w:type="dxa"/>
            <w:gridSpan w:val="28"/>
            <w:shd w:val="clear" w:color="auto" w:fill="99CCFF"/>
            <w:vAlign w:val="center"/>
          </w:tcPr>
          <w:p w14:paraId="447E9065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  <w:lang w:eastAsia="en-US"/>
              </w:rPr>
              <w:t xml:space="preserve"> </w:t>
            </w:r>
            <w:r w:rsidRPr="00F506C0">
              <w:rPr>
                <w:rStyle w:val="Ppogrubienie"/>
              </w:rPr>
              <w:t xml:space="preserve">8. </w:t>
            </w:r>
            <w:r w:rsidRPr="00F506C0">
              <w:rPr>
                <w:rStyle w:val="Ppogrubienie"/>
                <w:lang w:eastAsia="en-US"/>
              </w:rPr>
              <w:t>Zmiana obciążeń regulacyjnych (w tym obowiązków informacyjnych) wynikających z projektu</w:t>
            </w:r>
          </w:p>
        </w:tc>
      </w:tr>
      <w:tr w:rsidR="00F81BC2" w:rsidRPr="00171C74" w14:paraId="4ACD1182" w14:textId="77777777" w:rsidTr="002B40E8">
        <w:trPr>
          <w:trHeight w:val="151"/>
        </w:trPr>
        <w:tc>
          <w:tcPr>
            <w:tcW w:w="9356" w:type="dxa"/>
            <w:gridSpan w:val="28"/>
            <w:shd w:val="clear" w:color="auto" w:fill="FFFFFF"/>
          </w:tcPr>
          <w:p w14:paraId="41C201D5" w14:textId="77777777" w:rsidR="00F81BC2" w:rsidRPr="00171C74" w:rsidRDefault="004A4E01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nie dotyczy</w:t>
            </w:r>
          </w:p>
        </w:tc>
      </w:tr>
      <w:tr w:rsidR="00F81BC2" w:rsidRPr="00171C74" w14:paraId="2B617AB7" w14:textId="77777777" w:rsidTr="002B40E8">
        <w:trPr>
          <w:trHeight w:val="408"/>
        </w:trPr>
        <w:tc>
          <w:tcPr>
            <w:tcW w:w="4557" w:type="dxa"/>
            <w:gridSpan w:val="13"/>
            <w:shd w:val="clear" w:color="auto" w:fill="FFFFFF"/>
          </w:tcPr>
          <w:p w14:paraId="38258CD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Wprowadzane są obciążenia poza bezwzględnie wymaganymi przez UE (szczegóły w odwróconej tabeli zgodności).</w:t>
            </w:r>
          </w:p>
        </w:tc>
        <w:tc>
          <w:tcPr>
            <w:tcW w:w="4799" w:type="dxa"/>
            <w:gridSpan w:val="15"/>
            <w:shd w:val="clear" w:color="auto" w:fill="FFFFFF"/>
          </w:tcPr>
          <w:p w14:paraId="1399853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tak</w:t>
            </w:r>
          </w:p>
          <w:p w14:paraId="0398C97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nie </w:t>
            </w:r>
          </w:p>
          <w:p w14:paraId="17762B22" w14:textId="77777777" w:rsidR="00F81BC2" w:rsidRPr="00171C74" w:rsidRDefault="004A4E01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9D67B6" w:rsidRPr="00171C74">
              <w:rPr>
                <w:lang w:eastAsia="en-US"/>
              </w:rPr>
              <w:t xml:space="preserve"> </w:t>
            </w:r>
            <w:r w:rsidR="00F81BC2" w:rsidRPr="00171C74">
              <w:rPr>
                <w:lang w:eastAsia="en-US"/>
              </w:rPr>
              <w:t>nie dotyczy</w:t>
            </w:r>
          </w:p>
        </w:tc>
      </w:tr>
      <w:tr w:rsidR="00F81BC2" w:rsidRPr="00171C74" w14:paraId="44C5C11A" w14:textId="77777777" w:rsidTr="000117DF">
        <w:trPr>
          <w:trHeight w:val="422"/>
        </w:trPr>
        <w:tc>
          <w:tcPr>
            <w:tcW w:w="4557" w:type="dxa"/>
            <w:gridSpan w:val="13"/>
            <w:shd w:val="clear" w:color="auto" w:fill="FFFFFF"/>
          </w:tcPr>
          <w:p w14:paraId="55AD7D45" w14:textId="77777777" w:rsidR="00F81BC2" w:rsidRPr="00171C74" w:rsidRDefault="004A4E01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zmniejszenie liczby dokumentów </w:t>
            </w:r>
          </w:p>
          <w:p w14:paraId="7BABA225" w14:textId="77777777" w:rsidR="00F81BC2" w:rsidRPr="00171C74" w:rsidRDefault="004A4E01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zmniejszenie liczby procedur</w:t>
            </w:r>
          </w:p>
          <w:p w14:paraId="02785CBB" w14:textId="77777777" w:rsidR="00F81BC2" w:rsidRPr="00171C74" w:rsidRDefault="004A4E01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skrócenie czasu na załatwienie sprawy</w:t>
            </w:r>
          </w:p>
          <w:p w14:paraId="5E8A2C00" w14:textId="77777777" w:rsidR="00F81BC2" w:rsidRPr="00171C74" w:rsidRDefault="004A4E01" w:rsidP="00BF67C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inne: </w:t>
            </w:r>
            <w:r w:rsidR="00BF67C5">
              <w:rPr>
                <w:lang w:eastAsia="en-US"/>
              </w:rPr>
              <w:t>umożliwienie wykorzystania nowych technologii w geodezji</w:t>
            </w:r>
          </w:p>
        </w:tc>
        <w:tc>
          <w:tcPr>
            <w:tcW w:w="4799" w:type="dxa"/>
            <w:gridSpan w:val="15"/>
            <w:shd w:val="clear" w:color="auto" w:fill="FFFFFF"/>
          </w:tcPr>
          <w:p w14:paraId="75C6F36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zwiększenie liczby dokumentów</w:t>
            </w:r>
          </w:p>
          <w:p w14:paraId="6C75EEB2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zwiększenie liczby procedur</w:t>
            </w:r>
          </w:p>
          <w:p w14:paraId="035308C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wydłużenie czasu na załatwienie sprawy</w:t>
            </w:r>
          </w:p>
          <w:p w14:paraId="23851D6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inne: </w:t>
            </w: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lang w:eastAsia="en-US"/>
              </w:rPr>
              <w:fldChar w:fldCharType="end"/>
            </w:r>
          </w:p>
        </w:tc>
      </w:tr>
      <w:tr w:rsidR="00F81BC2" w:rsidRPr="00171C74" w14:paraId="1772EAB5" w14:textId="77777777" w:rsidTr="002B40E8">
        <w:trPr>
          <w:trHeight w:val="870"/>
        </w:trPr>
        <w:tc>
          <w:tcPr>
            <w:tcW w:w="4557" w:type="dxa"/>
            <w:gridSpan w:val="13"/>
            <w:shd w:val="clear" w:color="auto" w:fill="FFFFFF"/>
          </w:tcPr>
          <w:p w14:paraId="718DD444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 xml:space="preserve">Wprowadzane obciążenia są przystosowane do ich elektronizacji. </w:t>
            </w:r>
          </w:p>
        </w:tc>
        <w:tc>
          <w:tcPr>
            <w:tcW w:w="4799" w:type="dxa"/>
            <w:gridSpan w:val="15"/>
            <w:shd w:val="clear" w:color="auto" w:fill="FFFFFF"/>
          </w:tcPr>
          <w:p w14:paraId="69151C07" w14:textId="77777777" w:rsidR="00F81BC2" w:rsidRPr="00171C74" w:rsidRDefault="000117DF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tak</w:t>
            </w:r>
          </w:p>
          <w:p w14:paraId="69E124F6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nie</w:t>
            </w:r>
          </w:p>
          <w:p w14:paraId="7D53EB32" w14:textId="77777777" w:rsidR="00F81BC2" w:rsidRPr="00171C74" w:rsidRDefault="000117DF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nie dotyczy</w:t>
            </w:r>
          </w:p>
        </w:tc>
      </w:tr>
      <w:tr w:rsidR="00F81BC2" w:rsidRPr="00171C74" w14:paraId="388D4217" w14:textId="77777777" w:rsidTr="002B40E8">
        <w:trPr>
          <w:trHeight w:val="630"/>
        </w:trPr>
        <w:tc>
          <w:tcPr>
            <w:tcW w:w="9356" w:type="dxa"/>
            <w:gridSpan w:val="28"/>
            <w:shd w:val="clear" w:color="auto" w:fill="FFFFFF"/>
          </w:tcPr>
          <w:p w14:paraId="2EA2D9E0" w14:textId="77777777" w:rsidR="00F81BC2" w:rsidRPr="00171C74" w:rsidRDefault="004A4E01" w:rsidP="000117DF">
            <w:pPr>
              <w:spacing w:line="276" w:lineRule="auto"/>
              <w:jc w:val="both"/>
              <w:rPr>
                <w:lang w:eastAsia="en-US"/>
              </w:rPr>
            </w:pPr>
            <w:r w:rsidRPr="00CC1B51">
              <w:rPr>
                <w:szCs w:val="24"/>
              </w:rPr>
              <w:t>Regulacje prawne zawarte w projekcie rozporządzenia nie mają wpływu na zmianę obciążeń regulacyjnych.</w:t>
            </w:r>
          </w:p>
        </w:tc>
      </w:tr>
      <w:tr w:rsidR="00F81BC2" w:rsidRPr="00171C74" w14:paraId="460DEA53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1E2D2C6C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9. </w:t>
            </w:r>
            <w:r w:rsidRPr="00F506C0">
              <w:rPr>
                <w:rStyle w:val="Ppogrubienie"/>
                <w:lang w:eastAsia="en-US"/>
              </w:rPr>
              <w:t xml:space="preserve">Wpływ na rynek pracy </w:t>
            </w:r>
          </w:p>
        </w:tc>
      </w:tr>
      <w:tr w:rsidR="00F81BC2" w:rsidRPr="00171C74" w14:paraId="1090E4D4" w14:textId="77777777" w:rsidTr="002B40E8">
        <w:trPr>
          <w:trHeight w:val="142"/>
        </w:trPr>
        <w:tc>
          <w:tcPr>
            <w:tcW w:w="9356" w:type="dxa"/>
            <w:gridSpan w:val="28"/>
          </w:tcPr>
          <w:p w14:paraId="1EE349BF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Regulacje prawne zawarte w projekcie rozporządzenia nie mają wpływu na rynek pracy.</w:t>
            </w:r>
          </w:p>
        </w:tc>
      </w:tr>
      <w:tr w:rsidR="00F81BC2" w:rsidRPr="00171C74" w14:paraId="2B64C17B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21A75496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10. </w:t>
            </w:r>
            <w:r w:rsidRPr="00F506C0">
              <w:rPr>
                <w:rStyle w:val="Ppogrubienie"/>
                <w:lang w:eastAsia="en-US"/>
              </w:rPr>
              <w:t>Wpływ na pozostałe obszary</w:t>
            </w:r>
          </w:p>
        </w:tc>
      </w:tr>
      <w:tr w:rsidR="00F81BC2" w:rsidRPr="00171C74" w14:paraId="48DDC18B" w14:textId="77777777" w:rsidTr="009D5531">
        <w:trPr>
          <w:trHeight w:val="1239"/>
        </w:trPr>
        <w:tc>
          <w:tcPr>
            <w:tcW w:w="3432" w:type="dxa"/>
            <w:gridSpan w:val="9"/>
            <w:shd w:val="clear" w:color="auto" w:fill="FFFFFF"/>
          </w:tcPr>
          <w:p w14:paraId="535F4DFF" w14:textId="77777777" w:rsidR="00F81BC2" w:rsidRPr="00171C74" w:rsidRDefault="004A4E01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środowisko naturalne</w:t>
            </w:r>
          </w:p>
          <w:p w14:paraId="0A3FFFF7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sytuacja i rozwój regionalny</w:t>
            </w:r>
          </w:p>
          <w:p w14:paraId="544B4F6A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inne: </w:t>
            </w: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171C74">
              <w:rPr>
                <w:lang w:eastAsia="en-US"/>
              </w:rPr>
              <w:instrText xml:space="preserve"> FORMTEXT </w:instrText>
            </w:r>
            <w:r w:rsidRPr="00171C74">
              <w:rPr>
                <w:lang w:eastAsia="en-US"/>
              </w:rPr>
            </w:r>
            <w:r w:rsidRPr="00171C74">
              <w:rPr>
                <w:lang w:eastAsia="en-US"/>
              </w:rPr>
              <w:fldChar w:fldCharType="separate"/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rFonts w:eastAsia="Arial Unicode MS" w:hint="eastAsia"/>
                <w:lang w:eastAsia="en-US"/>
              </w:rPr>
              <w:t> </w:t>
            </w:r>
            <w:r w:rsidRPr="00171C74">
              <w:rPr>
                <w:lang w:eastAsia="en-US"/>
              </w:rPr>
              <w:fldChar w:fldCharType="end"/>
            </w:r>
          </w:p>
        </w:tc>
        <w:tc>
          <w:tcPr>
            <w:tcW w:w="3719" w:type="dxa"/>
            <w:gridSpan w:val="15"/>
            <w:shd w:val="clear" w:color="auto" w:fill="FFFFFF"/>
          </w:tcPr>
          <w:p w14:paraId="6832878C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demografia</w:t>
            </w:r>
          </w:p>
          <w:p w14:paraId="7586F13B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mienie państwowe</w:t>
            </w:r>
          </w:p>
        </w:tc>
        <w:tc>
          <w:tcPr>
            <w:tcW w:w="2205" w:type="dxa"/>
            <w:gridSpan w:val="4"/>
            <w:shd w:val="clear" w:color="auto" w:fill="FFFFFF"/>
          </w:tcPr>
          <w:p w14:paraId="54E14970" w14:textId="77777777" w:rsidR="00F81BC2" w:rsidRPr="00171C74" w:rsidRDefault="00BF67C5" w:rsidP="00E66F2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  <w:r w:rsidR="00F81BC2" w:rsidRPr="00171C74">
              <w:rPr>
                <w:lang w:eastAsia="en-US"/>
              </w:rPr>
              <w:t xml:space="preserve"> informatyzacja</w:t>
            </w:r>
          </w:p>
          <w:p w14:paraId="61CB21D5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C74">
              <w:rPr>
                <w:lang w:eastAsia="en-US"/>
              </w:rPr>
              <w:instrText xml:space="preserve"> FORMCHECKBOX </w:instrText>
            </w:r>
            <w:r w:rsidR="00FB5EF9">
              <w:rPr>
                <w:lang w:eastAsia="en-US"/>
              </w:rPr>
            </w:r>
            <w:r w:rsidR="00FB5EF9">
              <w:rPr>
                <w:lang w:eastAsia="en-US"/>
              </w:rPr>
              <w:fldChar w:fldCharType="separate"/>
            </w:r>
            <w:r w:rsidRPr="00171C74">
              <w:rPr>
                <w:lang w:eastAsia="en-US"/>
              </w:rPr>
              <w:fldChar w:fldCharType="end"/>
            </w:r>
            <w:r w:rsidRPr="00171C74">
              <w:rPr>
                <w:lang w:eastAsia="en-US"/>
              </w:rPr>
              <w:t xml:space="preserve"> zdrowie</w:t>
            </w:r>
          </w:p>
        </w:tc>
      </w:tr>
      <w:tr w:rsidR="00F81BC2" w:rsidRPr="00171C74" w14:paraId="18B6F4DF" w14:textId="77777777" w:rsidTr="002B40E8">
        <w:trPr>
          <w:trHeight w:val="879"/>
        </w:trPr>
        <w:tc>
          <w:tcPr>
            <w:tcW w:w="1689" w:type="dxa"/>
            <w:shd w:val="clear" w:color="auto" w:fill="FFFFFF"/>
            <w:vAlign w:val="center"/>
          </w:tcPr>
          <w:p w14:paraId="7E56D12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Omówienie wpływu</w:t>
            </w:r>
          </w:p>
        </w:tc>
        <w:tc>
          <w:tcPr>
            <w:tcW w:w="7667" w:type="dxa"/>
            <w:gridSpan w:val="27"/>
            <w:shd w:val="clear" w:color="auto" w:fill="FFFFFF"/>
            <w:vAlign w:val="center"/>
          </w:tcPr>
          <w:p w14:paraId="63A3A9D3" w14:textId="21924543" w:rsidR="00F81BC2" w:rsidRPr="00171C74" w:rsidRDefault="003D3B76" w:rsidP="009D553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Projekt </w:t>
            </w:r>
            <w:r w:rsidR="009D5531">
              <w:rPr>
                <w:lang w:eastAsia="en-US"/>
              </w:rPr>
              <w:t xml:space="preserve">rozporządzenia </w:t>
            </w:r>
            <w:r w:rsidR="00226CB0">
              <w:rPr>
                <w:lang w:eastAsia="en-US"/>
              </w:rPr>
              <w:t>jest nakierowany na informatyzację i</w:t>
            </w:r>
            <w:r>
              <w:rPr>
                <w:lang w:eastAsia="en-US"/>
              </w:rPr>
              <w:t xml:space="preserve"> automatyzacj</w:t>
            </w:r>
            <w:r w:rsidR="000117DF">
              <w:rPr>
                <w:lang w:eastAsia="en-US"/>
              </w:rPr>
              <w:t xml:space="preserve">ę procesu </w:t>
            </w:r>
            <w:r w:rsidR="00F91365">
              <w:rPr>
                <w:lang w:eastAsia="en-US"/>
              </w:rPr>
              <w:t>udostępniania</w:t>
            </w:r>
            <w:r w:rsidR="000117DF">
              <w:rPr>
                <w:lang w:eastAsia="en-US"/>
              </w:rPr>
              <w:t xml:space="preserve"> </w:t>
            </w:r>
            <w:r w:rsidR="009D5531">
              <w:rPr>
                <w:lang w:eastAsia="en-US"/>
              </w:rPr>
              <w:t>danych z baz danych za pomocą usług.</w:t>
            </w:r>
          </w:p>
        </w:tc>
      </w:tr>
      <w:tr w:rsidR="00F81BC2" w:rsidRPr="00171C74" w14:paraId="5BC188B0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3DDCD419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11. </w:t>
            </w:r>
            <w:r w:rsidRPr="00F506C0">
              <w:rPr>
                <w:rStyle w:val="Ppogrubienie"/>
                <w:lang w:eastAsia="en-US"/>
              </w:rPr>
              <w:t>Planowane wykonanie przepisów aktu prawnego</w:t>
            </w:r>
          </w:p>
        </w:tc>
      </w:tr>
      <w:tr w:rsidR="00F81BC2" w:rsidRPr="00171C74" w14:paraId="33834FB1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2AA5BE53" w14:textId="5D2E6132" w:rsidR="00F81BC2" w:rsidRPr="00226CB0" w:rsidRDefault="003D3B76" w:rsidP="000A08C2">
            <w:pPr>
              <w:pStyle w:val="NIEARTTEKSTtekstnieartykuowanynppodstprawnarozplubpreambua"/>
              <w:spacing w:before="0" w:line="276" w:lineRule="auto"/>
              <w:ind w:firstLine="0"/>
              <w:rPr>
                <w:rFonts w:ascii="Times New Roman" w:hAnsi="Times New Roman"/>
              </w:rPr>
            </w:pPr>
            <w:r w:rsidRPr="00211C03">
              <w:rPr>
                <w:rFonts w:ascii="Times New Roman" w:hAnsi="Times New Roman"/>
              </w:rPr>
              <w:t xml:space="preserve">Przewiduje się, że projektowany akt prawny wejdzie w życie </w:t>
            </w:r>
            <w:r w:rsidR="00EF55E7">
              <w:rPr>
                <w:rFonts w:ascii="Times New Roman" w:hAnsi="Times New Roman"/>
              </w:rPr>
              <w:t>po</w:t>
            </w:r>
            <w:r w:rsidR="004A4E01">
              <w:rPr>
                <w:rFonts w:ascii="Times New Roman" w:hAnsi="Times New Roman"/>
              </w:rPr>
              <w:t xml:space="preserve"> upływ</w:t>
            </w:r>
            <w:r w:rsidR="00EF55E7">
              <w:rPr>
                <w:rFonts w:ascii="Times New Roman" w:hAnsi="Times New Roman"/>
              </w:rPr>
              <w:t>ie</w:t>
            </w:r>
            <w:r w:rsidR="004A4E01">
              <w:rPr>
                <w:rFonts w:ascii="Times New Roman" w:hAnsi="Times New Roman"/>
              </w:rPr>
              <w:t xml:space="preserve"> </w:t>
            </w:r>
            <w:r w:rsidR="000A08C2">
              <w:rPr>
                <w:rFonts w:ascii="Times New Roman" w:hAnsi="Times New Roman"/>
              </w:rPr>
              <w:t>30</w:t>
            </w:r>
            <w:r w:rsidR="00586BD1">
              <w:rPr>
                <w:rFonts w:ascii="Times New Roman" w:hAnsi="Times New Roman"/>
              </w:rPr>
              <w:t xml:space="preserve"> dni od dnia </w:t>
            </w:r>
            <w:r>
              <w:rPr>
                <w:rFonts w:ascii="Times New Roman" w:hAnsi="Times New Roman"/>
              </w:rPr>
              <w:t xml:space="preserve"> ogłoszenia</w:t>
            </w:r>
            <w:r w:rsidRPr="00211C03">
              <w:rPr>
                <w:rFonts w:ascii="Times New Roman" w:hAnsi="Times New Roman"/>
              </w:rPr>
              <w:t>.</w:t>
            </w:r>
          </w:p>
        </w:tc>
      </w:tr>
      <w:tr w:rsidR="00F81BC2" w:rsidRPr="00171C74" w14:paraId="256539BE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4F951576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  <w:lang w:eastAsia="en-US"/>
              </w:rPr>
              <w:t xml:space="preserve"> </w:t>
            </w:r>
            <w:r w:rsidRPr="00F506C0">
              <w:rPr>
                <w:rStyle w:val="Ppogrubienie"/>
              </w:rPr>
              <w:t xml:space="preserve">12. </w:t>
            </w:r>
            <w:r w:rsidRPr="00F506C0">
              <w:rPr>
                <w:rStyle w:val="Ppogrubienie"/>
                <w:lang w:eastAsia="en-US"/>
              </w:rPr>
              <w:t>W jaki sposób i kiedy nastąpi ewaluacja efektów projektu oraz jakie mierniki zostaną zastosowane?</w:t>
            </w:r>
          </w:p>
        </w:tc>
      </w:tr>
      <w:tr w:rsidR="00F81BC2" w:rsidRPr="00171C74" w14:paraId="37F47197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3764FAC0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Ewaluacja efektów projektu nie jest planowana.</w:t>
            </w:r>
          </w:p>
        </w:tc>
      </w:tr>
      <w:tr w:rsidR="00F81BC2" w:rsidRPr="00171C74" w14:paraId="6F47376E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99CCFF"/>
          </w:tcPr>
          <w:p w14:paraId="37B67F87" w14:textId="77777777" w:rsidR="00F81BC2" w:rsidRPr="00F506C0" w:rsidRDefault="00F81BC2" w:rsidP="00E66F2F">
            <w:pPr>
              <w:spacing w:line="276" w:lineRule="auto"/>
              <w:rPr>
                <w:rStyle w:val="Ppogrubienie"/>
                <w:lang w:eastAsia="en-US"/>
              </w:rPr>
            </w:pPr>
            <w:r w:rsidRPr="00F506C0">
              <w:rPr>
                <w:rStyle w:val="Ppogrubienie"/>
              </w:rPr>
              <w:t xml:space="preserve">13. </w:t>
            </w:r>
            <w:r w:rsidRPr="00F506C0">
              <w:rPr>
                <w:rStyle w:val="Ppogrubienie"/>
                <w:lang w:eastAsia="en-US"/>
              </w:rPr>
              <w:t xml:space="preserve">Załączniki (istotne dokumenty źródłowe, badania, analizy itp.) </w:t>
            </w:r>
          </w:p>
        </w:tc>
      </w:tr>
      <w:tr w:rsidR="00F81BC2" w:rsidRPr="00171C74" w14:paraId="4EF8CBF9" w14:textId="77777777" w:rsidTr="002B40E8">
        <w:trPr>
          <w:trHeight w:val="142"/>
        </w:trPr>
        <w:tc>
          <w:tcPr>
            <w:tcW w:w="9356" w:type="dxa"/>
            <w:gridSpan w:val="28"/>
            <w:shd w:val="clear" w:color="auto" w:fill="FFFFFF"/>
          </w:tcPr>
          <w:p w14:paraId="1A266B8D" w14:textId="77777777" w:rsidR="00F81BC2" w:rsidRPr="00171C74" w:rsidRDefault="00F81BC2" w:rsidP="00E66F2F">
            <w:pPr>
              <w:spacing w:line="276" w:lineRule="auto"/>
              <w:rPr>
                <w:lang w:eastAsia="en-US"/>
              </w:rPr>
            </w:pPr>
            <w:r w:rsidRPr="00171C74">
              <w:rPr>
                <w:lang w:eastAsia="en-US"/>
              </w:rPr>
              <w:t>-</w:t>
            </w:r>
          </w:p>
        </w:tc>
      </w:tr>
    </w:tbl>
    <w:p w14:paraId="39B601CC" w14:textId="77777777" w:rsidR="00565257" w:rsidRDefault="00565257"/>
    <w:sectPr w:rsidR="00565257" w:rsidSect="002B40E8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103EB" w16cex:dateUtc="2021-02-24T15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42301A3" w16cid:durableId="23E103E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FC488" w14:textId="77777777" w:rsidR="00FB5EF9" w:rsidRDefault="00FB5EF9">
      <w:pPr>
        <w:spacing w:line="240" w:lineRule="auto"/>
      </w:pPr>
      <w:r>
        <w:separator/>
      </w:r>
    </w:p>
  </w:endnote>
  <w:endnote w:type="continuationSeparator" w:id="0">
    <w:p w14:paraId="551EB1AE" w14:textId="77777777" w:rsidR="00FB5EF9" w:rsidRDefault="00FB5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1372B1" w14:textId="77777777" w:rsidR="00FB5EF9" w:rsidRDefault="00FB5EF9">
      <w:pPr>
        <w:spacing w:line="240" w:lineRule="auto"/>
      </w:pPr>
      <w:r>
        <w:separator/>
      </w:r>
    </w:p>
  </w:footnote>
  <w:footnote w:type="continuationSeparator" w:id="0">
    <w:p w14:paraId="3DBE7364" w14:textId="77777777" w:rsidR="00FB5EF9" w:rsidRDefault="00FB5E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C8E66" w14:textId="77777777" w:rsidR="00124342" w:rsidRPr="00B371CC" w:rsidRDefault="00124342" w:rsidP="002B40E8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B03B19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1DAEFD6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pacing w:val="-2"/>
        <w:sz w:val="24"/>
        <w:szCs w:val="24"/>
        <w:u w:val="none"/>
      </w:rPr>
    </w:lvl>
  </w:abstractNum>
  <w:abstractNum w:abstractNumId="1">
    <w:nsid w:val="013B5481"/>
    <w:multiLevelType w:val="hybridMultilevel"/>
    <w:tmpl w:val="7EE0E87A"/>
    <w:lvl w:ilvl="0" w:tplc="E85A86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341F9"/>
    <w:multiLevelType w:val="hybridMultilevel"/>
    <w:tmpl w:val="C7D27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8D702C"/>
    <w:multiLevelType w:val="hybridMultilevel"/>
    <w:tmpl w:val="706C59B4"/>
    <w:lvl w:ilvl="0" w:tplc="AFEC9D5A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>
    <w:nsid w:val="2EE96C6B"/>
    <w:multiLevelType w:val="hybridMultilevel"/>
    <w:tmpl w:val="10F87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8512A"/>
    <w:multiLevelType w:val="hybridMultilevel"/>
    <w:tmpl w:val="87A678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90449"/>
    <w:multiLevelType w:val="hybridMultilevel"/>
    <w:tmpl w:val="375E93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3B114649"/>
    <w:multiLevelType w:val="hybridMultilevel"/>
    <w:tmpl w:val="814E0C80"/>
    <w:lvl w:ilvl="0" w:tplc="FF005A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72780"/>
    <w:multiLevelType w:val="hybridMultilevel"/>
    <w:tmpl w:val="1B6C3E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D9A02EA"/>
    <w:multiLevelType w:val="hybridMultilevel"/>
    <w:tmpl w:val="59B4A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1D782F"/>
    <w:multiLevelType w:val="multilevel"/>
    <w:tmpl w:val="0170616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BA245FA"/>
    <w:multiLevelType w:val="hybridMultilevel"/>
    <w:tmpl w:val="90661CC8"/>
    <w:lvl w:ilvl="0" w:tplc="FBD018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02665A"/>
    <w:multiLevelType w:val="hybridMultilevel"/>
    <w:tmpl w:val="B956B442"/>
    <w:lvl w:ilvl="0" w:tplc="DB1686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0E2FA6"/>
    <w:multiLevelType w:val="multilevel"/>
    <w:tmpl w:val="D1982F7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14">
    <w:nsid w:val="5A3E477E"/>
    <w:multiLevelType w:val="hybridMultilevel"/>
    <w:tmpl w:val="43F0A10C"/>
    <w:lvl w:ilvl="0" w:tplc="D1FAEFAC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241" w:hanging="360"/>
      </w:pPr>
    </w:lvl>
    <w:lvl w:ilvl="2" w:tplc="0415001B" w:tentative="1">
      <w:start w:val="1"/>
      <w:numFmt w:val="lowerRoman"/>
      <w:lvlText w:val="%3."/>
      <w:lvlJc w:val="right"/>
      <w:pPr>
        <w:ind w:left="479" w:hanging="180"/>
      </w:pPr>
    </w:lvl>
    <w:lvl w:ilvl="3" w:tplc="0415000F" w:tentative="1">
      <w:start w:val="1"/>
      <w:numFmt w:val="decimal"/>
      <w:lvlText w:val="%4."/>
      <w:lvlJc w:val="left"/>
      <w:pPr>
        <w:ind w:left="1199" w:hanging="360"/>
      </w:pPr>
    </w:lvl>
    <w:lvl w:ilvl="4" w:tplc="04150019" w:tentative="1">
      <w:start w:val="1"/>
      <w:numFmt w:val="lowerLetter"/>
      <w:lvlText w:val="%5."/>
      <w:lvlJc w:val="left"/>
      <w:pPr>
        <w:ind w:left="1919" w:hanging="360"/>
      </w:pPr>
    </w:lvl>
    <w:lvl w:ilvl="5" w:tplc="0415001B" w:tentative="1">
      <w:start w:val="1"/>
      <w:numFmt w:val="lowerRoman"/>
      <w:lvlText w:val="%6."/>
      <w:lvlJc w:val="right"/>
      <w:pPr>
        <w:ind w:left="2639" w:hanging="180"/>
      </w:pPr>
    </w:lvl>
    <w:lvl w:ilvl="6" w:tplc="0415000F" w:tentative="1">
      <w:start w:val="1"/>
      <w:numFmt w:val="decimal"/>
      <w:lvlText w:val="%7."/>
      <w:lvlJc w:val="left"/>
      <w:pPr>
        <w:ind w:left="3359" w:hanging="360"/>
      </w:pPr>
    </w:lvl>
    <w:lvl w:ilvl="7" w:tplc="04150019" w:tentative="1">
      <w:start w:val="1"/>
      <w:numFmt w:val="lowerLetter"/>
      <w:lvlText w:val="%8."/>
      <w:lvlJc w:val="left"/>
      <w:pPr>
        <w:ind w:left="4079" w:hanging="360"/>
      </w:pPr>
    </w:lvl>
    <w:lvl w:ilvl="8" w:tplc="0415001B" w:tentative="1">
      <w:start w:val="1"/>
      <w:numFmt w:val="lowerRoman"/>
      <w:lvlText w:val="%9."/>
      <w:lvlJc w:val="right"/>
      <w:pPr>
        <w:ind w:left="4799" w:hanging="180"/>
      </w:pPr>
    </w:lvl>
  </w:abstractNum>
  <w:abstractNum w:abstractNumId="15">
    <w:nsid w:val="5E581A58"/>
    <w:multiLevelType w:val="multilevel"/>
    <w:tmpl w:val="D1982F7A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0" w:hanging="360"/>
      </w:pPr>
    </w:lvl>
    <w:lvl w:ilvl="2">
      <w:start w:val="1"/>
      <w:numFmt w:val="lowerRoman"/>
      <w:lvlText w:val="%3."/>
      <w:lvlJc w:val="right"/>
      <w:pPr>
        <w:ind w:left="479" w:hanging="180"/>
      </w:pPr>
    </w:lvl>
    <w:lvl w:ilvl="3">
      <w:start w:val="1"/>
      <w:numFmt w:val="decimal"/>
      <w:lvlText w:val="%4."/>
      <w:lvlJc w:val="left"/>
      <w:pPr>
        <w:ind w:left="1199" w:hanging="360"/>
      </w:pPr>
    </w:lvl>
    <w:lvl w:ilvl="4">
      <w:start w:val="1"/>
      <w:numFmt w:val="lowerLetter"/>
      <w:lvlText w:val="%5."/>
      <w:lvlJc w:val="left"/>
      <w:pPr>
        <w:ind w:left="1919" w:hanging="360"/>
      </w:pPr>
    </w:lvl>
    <w:lvl w:ilvl="5">
      <w:start w:val="1"/>
      <w:numFmt w:val="lowerRoman"/>
      <w:lvlText w:val="%6."/>
      <w:lvlJc w:val="right"/>
      <w:pPr>
        <w:ind w:left="2639" w:hanging="180"/>
      </w:pPr>
    </w:lvl>
    <w:lvl w:ilvl="6">
      <w:start w:val="1"/>
      <w:numFmt w:val="decimal"/>
      <w:lvlText w:val="%7."/>
      <w:lvlJc w:val="left"/>
      <w:pPr>
        <w:ind w:left="3359" w:hanging="360"/>
      </w:pPr>
    </w:lvl>
    <w:lvl w:ilvl="7">
      <w:start w:val="1"/>
      <w:numFmt w:val="lowerLetter"/>
      <w:lvlText w:val="%8."/>
      <w:lvlJc w:val="left"/>
      <w:pPr>
        <w:ind w:left="4079" w:hanging="360"/>
      </w:pPr>
    </w:lvl>
    <w:lvl w:ilvl="8">
      <w:start w:val="1"/>
      <w:numFmt w:val="lowerRoman"/>
      <w:lvlText w:val="%9."/>
      <w:lvlJc w:val="right"/>
      <w:pPr>
        <w:ind w:left="4799" w:hanging="180"/>
      </w:pPr>
    </w:lvl>
  </w:abstractNum>
  <w:abstractNum w:abstractNumId="16">
    <w:nsid w:val="759C2676"/>
    <w:multiLevelType w:val="hybridMultilevel"/>
    <w:tmpl w:val="AE42A844"/>
    <w:lvl w:ilvl="0" w:tplc="EA08F92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90502EC"/>
    <w:multiLevelType w:val="hybridMultilevel"/>
    <w:tmpl w:val="96969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5"/>
  </w:num>
  <w:num w:numId="5">
    <w:abstractNumId w:val="9"/>
  </w:num>
  <w:num w:numId="6">
    <w:abstractNumId w:val="8"/>
  </w:num>
  <w:num w:numId="7">
    <w:abstractNumId w:val="16"/>
  </w:num>
  <w:num w:numId="8">
    <w:abstractNumId w:val="17"/>
  </w:num>
  <w:num w:numId="9">
    <w:abstractNumId w:val="7"/>
  </w:num>
  <w:num w:numId="10">
    <w:abstractNumId w:val="1"/>
  </w:num>
  <w:num w:numId="11">
    <w:abstractNumId w:val="3"/>
  </w:num>
  <w:num w:numId="12">
    <w:abstractNumId w:val="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3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1E"/>
    <w:rsid w:val="000117DF"/>
    <w:rsid w:val="0001560B"/>
    <w:rsid w:val="00022A1D"/>
    <w:rsid w:val="00042B16"/>
    <w:rsid w:val="000443B5"/>
    <w:rsid w:val="00055EE2"/>
    <w:rsid w:val="00073E74"/>
    <w:rsid w:val="0009515C"/>
    <w:rsid w:val="000A08C2"/>
    <w:rsid w:val="000A2513"/>
    <w:rsid w:val="000B6449"/>
    <w:rsid w:val="000C22A0"/>
    <w:rsid w:val="000D27BC"/>
    <w:rsid w:val="000D79CC"/>
    <w:rsid w:val="000F2E4C"/>
    <w:rsid w:val="00111C5B"/>
    <w:rsid w:val="0011489B"/>
    <w:rsid w:val="00124342"/>
    <w:rsid w:val="0012670C"/>
    <w:rsid w:val="00132A15"/>
    <w:rsid w:val="00135BD1"/>
    <w:rsid w:val="00137201"/>
    <w:rsid w:val="00154C96"/>
    <w:rsid w:val="00162EC1"/>
    <w:rsid w:val="00165F11"/>
    <w:rsid w:val="00192C9C"/>
    <w:rsid w:val="00197A18"/>
    <w:rsid w:val="001C245E"/>
    <w:rsid w:val="001D2944"/>
    <w:rsid w:val="001D7A50"/>
    <w:rsid w:val="001E1F02"/>
    <w:rsid w:val="001E377F"/>
    <w:rsid w:val="0020149F"/>
    <w:rsid w:val="0020405E"/>
    <w:rsid w:val="002126E1"/>
    <w:rsid w:val="00226CB0"/>
    <w:rsid w:val="002306C3"/>
    <w:rsid w:val="00254E78"/>
    <w:rsid w:val="0027415E"/>
    <w:rsid w:val="002B40E8"/>
    <w:rsid w:val="002C5FC6"/>
    <w:rsid w:val="002D020E"/>
    <w:rsid w:val="002E1C78"/>
    <w:rsid w:val="002F0271"/>
    <w:rsid w:val="002F4632"/>
    <w:rsid w:val="002F48F0"/>
    <w:rsid w:val="002F517C"/>
    <w:rsid w:val="00304703"/>
    <w:rsid w:val="0031686E"/>
    <w:rsid w:val="0032707B"/>
    <w:rsid w:val="00365923"/>
    <w:rsid w:val="00367189"/>
    <w:rsid w:val="00372E18"/>
    <w:rsid w:val="003828BD"/>
    <w:rsid w:val="0039612D"/>
    <w:rsid w:val="003B70FF"/>
    <w:rsid w:val="003D3B76"/>
    <w:rsid w:val="00401AF1"/>
    <w:rsid w:val="0040357E"/>
    <w:rsid w:val="00403BCC"/>
    <w:rsid w:val="00436342"/>
    <w:rsid w:val="00446288"/>
    <w:rsid w:val="00464E52"/>
    <w:rsid w:val="0047214E"/>
    <w:rsid w:val="0048728B"/>
    <w:rsid w:val="00497EB6"/>
    <w:rsid w:val="004A231E"/>
    <w:rsid w:val="004A4E01"/>
    <w:rsid w:val="004A7DD0"/>
    <w:rsid w:val="004B51FA"/>
    <w:rsid w:val="004C2BCF"/>
    <w:rsid w:val="004D2625"/>
    <w:rsid w:val="00501512"/>
    <w:rsid w:val="00503B02"/>
    <w:rsid w:val="00523F1A"/>
    <w:rsid w:val="0053587D"/>
    <w:rsid w:val="005402D6"/>
    <w:rsid w:val="00565257"/>
    <w:rsid w:val="00574E57"/>
    <w:rsid w:val="00582A84"/>
    <w:rsid w:val="00586BD1"/>
    <w:rsid w:val="00591C0B"/>
    <w:rsid w:val="005B3276"/>
    <w:rsid w:val="005B70D2"/>
    <w:rsid w:val="005C0A6C"/>
    <w:rsid w:val="005C29F5"/>
    <w:rsid w:val="005D5AAA"/>
    <w:rsid w:val="005E2F78"/>
    <w:rsid w:val="005E77B3"/>
    <w:rsid w:val="0062184A"/>
    <w:rsid w:val="0062226A"/>
    <w:rsid w:val="00630423"/>
    <w:rsid w:val="0063368E"/>
    <w:rsid w:val="006441EE"/>
    <w:rsid w:val="00655F2D"/>
    <w:rsid w:val="00661A96"/>
    <w:rsid w:val="006915D2"/>
    <w:rsid w:val="00691B11"/>
    <w:rsid w:val="006B464C"/>
    <w:rsid w:val="006B6A13"/>
    <w:rsid w:val="006C2479"/>
    <w:rsid w:val="007269CE"/>
    <w:rsid w:val="007637CA"/>
    <w:rsid w:val="007C4F50"/>
    <w:rsid w:val="007F55A6"/>
    <w:rsid w:val="00801644"/>
    <w:rsid w:val="00806EEE"/>
    <w:rsid w:val="00816CE9"/>
    <w:rsid w:val="0082597E"/>
    <w:rsid w:val="00826E07"/>
    <w:rsid w:val="00832A89"/>
    <w:rsid w:val="00833EBD"/>
    <w:rsid w:val="00856D97"/>
    <w:rsid w:val="008752A8"/>
    <w:rsid w:val="008951DB"/>
    <w:rsid w:val="00895FA5"/>
    <w:rsid w:val="008E1A9D"/>
    <w:rsid w:val="008E3B44"/>
    <w:rsid w:val="008F02D2"/>
    <w:rsid w:val="00905117"/>
    <w:rsid w:val="009061CB"/>
    <w:rsid w:val="00916498"/>
    <w:rsid w:val="00917B66"/>
    <w:rsid w:val="00923DF8"/>
    <w:rsid w:val="00925A71"/>
    <w:rsid w:val="00955B32"/>
    <w:rsid w:val="009662F1"/>
    <w:rsid w:val="00967CE8"/>
    <w:rsid w:val="009740E2"/>
    <w:rsid w:val="009917AC"/>
    <w:rsid w:val="00992384"/>
    <w:rsid w:val="009D0014"/>
    <w:rsid w:val="009D5531"/>
    <w:rsid w:val="009D6441"/>
    <w:rsid w:val="009D67B6"/>
    <w:rsid w:val="009E5856"/>
    <w:rsid w:val="00A42F82"/>
    <w:rsid w:val="00A607DB"/>
    <w:rsid w:val="00A75F21"/>
    <w:rsid w:val="00A94F67"/>
    <w:rsid w:val="00AA336D"/>
    <w:rsid w:val="00AA7E74"/>
    <w:rsid w:val="00AB24FA"/>
    <w:rsid w:val="00AB62D1"/>
    <w:rsid w:val="00AD023D"/>
    <w:rsid w:val="00AD172A"/>
    <w:rsid w:val="00AD4757"/>
    <w:rsid w:val="00AD7930"/>
    <w:rsid w:val="00AD7DD9"/>
    <w:rsid w:val="00AE178D"/>
    <w:rsid w:val="00AE5DB8"/>
    <w:rsid w:val="00B03B19"/>
    <w:rsid w:val="00B13418"/>
    <w:rsid w:val="00B145B8"/>
    <w:rsid w:val="00B3546D"/>
    <w:rsid w:val="00B60076"/>
    <w:rsid w:val="00B65354"/>
    <w:rsid w:val="00B81714"/>
    <w:rsid w:val="00B81C7C"/>
    <w:rsid w:val="00B93D7A"/>
    <w:rsid w:val="00BA63E5"/>
    <w:rsid w:val="00BD7F67"/>
    <w:rsid w:val="00BE11DC"/>
    <w:rsid w:val="00BE59CE"/>
    <w:rsid w:val="00BF186B"/>
    <w:rsid w:val="00BF67C5"/>
    <w:rsid w:val="00C01285"/>
    <w:rsid w:val="00C041CF"/>
    <w:rsid w:val="00C269F4"/>
    <w:rsid w:val="00C41F19"/>
    <w:rsid w:val="00C457CE"/>
    <w:rsid w:val="00C52989"/>
    <w:rsid w:val="00C67EB2"/>
    <w:rsid w:val="00C945A8"/>
    <w:rsid w:val="00CC2F06"/>
    <w:rsid w:val="00CD4C72"/>
    <w:rsid w:val="00CE3F41"/>
    <w:rsid w:val="00D06A50"/>
    <w:rsid w:val="00D25881"/>
    <w:rsid w:val="00D34649"/>
    <w:rsid w:val="00D35427"/>
    <w:rsid w:val="00D66F00"/>
    <w:rsid w:val="00D74420"/>
    <w:rsid w:val="00D81FBC"/>
    <w:rsid w:val="00DA1F20"/>
    <w:rsid w:val="00DA4233"/>
    <w:rsid w:val="00DB0E01"/>
    <w:rsid w:val="00DC53E1"/>
    <w:rsid w:val="00E05172"/>
    <w:rsid w:val="00E157CF"/>
    <w:rsid w:val="00E17605"/>
    <w:rsid w:val="00E222E0"/>
    <w:rsid w:val="00E2544C"/>
    <w:rsid w:val="00E34380"/>
    <w:rsid w:val="00E46365"/>
    <w:rsid w:val="00E66F2F"/>
    <w:rsid w:val="00E75620"/>
    <w:rsid w:val="00E81F0A"/>
    <w:rsid w:val="00E82B44"/>
    <w:rsid w:val="00E955E4"/>
    <w:rsid w:val="00EA2C82"/>
    <w:rsid w:val="00EB1A89"/>
    <w:rsid w:val="00EB3637"/>
    <w:rsid w:val="00EB5370"/>
    <w:rsid w:val="00EC3C3A"/>
    <w:rsid w:val="00EF55E7"/>
    <w:rsid w:val="00F07213"/>
    <w:rsid w:val="00F13FDF"/>
    <w:rsid w:val="00F3458F"/>
    <w:rsid w:val="00F35BB6"/>
    <w:rsid w:val="00F375B1"/>
    <w:rsid w:val="00F42CB7"/>
    <w:rsid w:val="00F5094B"/>
    <w:rsid w:val="00F81BC2"/>
    <w:rsid w:val="00F85E9F"/>
    <w:rsid w:val="00F86A0D"/>
    <w:rsid w:val="00F91365"/>
    <w:rsid w:val="00F9750A"/>
    <w:rsid w:val="00FA27A5"/>
    <w:rsid w:val="00FB10DE"/>
    <w:rsid w:val="00FB2C7B"/>
    <w:rsid w:val="00FB5EF9"/>
    <w:rsid w:val="00FD705B"/>
    <w:rsid w:val="00FE264E"/>
    <w:rsid w:val="00FE7D06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5C0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BC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402D6"/>
    <w:pPr>
      <w:widowControl/>
      <w:autoSpaceDE/>
      <w:autoSpaceDN/>
      <w:adjustRightInd/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next w:val="Normalny"/>
    <w:link w:val="TekstkomentarzaZnak"/>
    <w:uiPriority w:val="99"/>
    <w:semiHidden/>
    <w:rsid w:val="0011489B"/>
    <w:pPr>
      <w:spacing w:after="200" w:line="240" w:lineRule="auto"/>
    </w:pPr>
  </w:style>
  <w:style w:type="character" w:customStyle="1" w:styleId="TekstkomentarzaZnak">
    <w:name w:val="Tekst komentarza Znak"/>
    <w:link w:val="Tekstkomentarza"/>
    <w:uiPriority w:val="99"/>
    <w:semiHidden/>
    <w:rsid w:val="0011489B"/>
    <w:rPr>
      <w:rFonts w:ascii="Times New Roman" w:hAnsi="Times New Roman"/>
    </w:rPr>
  </w:style>
  <w:style w:type="paragraph" w:styleId="Zwykytekst">
    <w:name w:val="Plain Text"/>
    <w:basedOn w:val="Normalny"/>
    <w:next w:val="Tekstkomentarza"/>
    <w:link w:val="ZwykytekstZnak"/>
    <w:uiPriority w:val="99"/>
    <w:semiHidden/>
    <w:rsid w:val="0011489B"/>
    <w:pPr>
      <w:jc w:val="both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1489B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rsid w:val="00F81BC2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81BC2"/>
    <w:rPr>
      <w:rFonts w:ascii="Times" w:eastAsia="Times New Roman" w:hAnsi="Times" w:cs="Times New Roman"/>
      <w:kern w:val="1"/>
      <w:sz w:val="20"/>
      <w:szCs w:val="20"/>
      <w:lang w:val="x-none" w:eastAsia="ar-SA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F81BC2"/>
    <w:pPr>
      <w:widowControl/>
      <w:suppressAutoHyphens/>
      <w:spacing w:before="120"/>
      <w:ind w:firstLine="510"/>
      <w:jc w:val="both"/>
    </w:pPr>
    <w:rPr>
      <w:rFonts w:ascii="Times" w:hAnsi="Times"/>
      <w:bCs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F81BC2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CZWSPLITczwsplnaliter">
    <w:name w:val="CZ_WSP_LIT – część wspólna liter"/>
    <w:basedOn w:val="Normalny"/>
    <w:next w:val="Normalny"/>
    <w:uiPriority w:val="17"/>
    <w:qFormat/>
    <w:rsid w:val="00F81BC2"/>
    <w:pPr>
      <w:widowControl/>
      <w:autoSpaceDE/>
      <w:autoSpaceDN/>
      <w:adjustRightInd/>
      <w:ind w:left="510"/>
      <w:jc w:val="both"/>
    </w:pPr>
    <w:rPr>
      <w:rFonts w:ascii="Times" w:hAnsi="Times"/>
      <w:bCs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Normalny"/>
    <w:uiPriority w:val="29"/>
    <w:qFormat/>
    <w:rsid w:val="00F81BC2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character" w:customStyle="1" w:styleId="Ppogrubienie">
    <w:name w:val="_P_ – pogrubienie"/>
    <w:uiPriority w:val="1"/>
    <w:qFormat/>
    <w:rsid w:val="00F81BC2"/>
    <w:rPr>
      <w:b/>
    </w:rPr>
  </w:style>
  <w:style w:type="character" w:styleId="Hipercze">
    <w:name w:val="Hyperlink"/>
    <w:uiPriority w:val="99"/>
    <w:semiHidden/>
    <w:rsid w:val="00F81BC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402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B40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0E8"/>
    <w:pPr>
      <w:spacing w:after="0"/>
    </w:pPr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0E8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0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0E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D020E"/>
    <w:pPr>
      <w:ind w:left="720"/>
      <w:contextualSpacing/>
    </w:pPr>
  </w:style>
  <w:style w:type="paragraph" w:customStyle="1" w:styleId="Default">
    <w:name w:val="Default"/>
    <w:rsid w:val="00162E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ivpoint">
    <w:name w:val="div.point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AA336D"/>
    <w:pPr>
      <w:widowControl/>
      <w:autoSpaceDE/>
      <w:autoSpaceDN/>
      <w:adjustRightInd/>
      <w:jc w:val="both"/>
    </w:pPr>
    <w:rPr>
      <w:rFonts w:ascii="Times" w:hAnsi="Times"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2F82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2F82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2F8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33EB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1BC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5402D6"/>
    <w:pPr>
      <w:widowControl/>
      <w:autoSpaceDE/>
      <w:autoSpaceDN/>
      <w:adjustRightInd/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next w:val="Normalny"/>
    <w:link w:val="TekstkomentarzaZnak"/>
    <w:uiPriority w:val="99"/>
    <w:semiHidden/>
    <w:rsid w:val="0011489B"/>
    <w:pPr>
      <w:spacing w:after="200" w:line="240" w:lineRule="auto"/>
    </w:pPr>
  </w:style>
  <w:style w:type="character" w:customStyle="1" w:styleId="TekstkomentarzaZnak">
    <w:name w:val="Tekst komentarza Znak"/>
    <w:link w:val="Tekstkomentarza"/>
    <w:uiPriority w:val="99"/>
    <w:semiHidden/>
    <w:rsid w:val="0011489B"/>
    <w:rPr>
      <w:rFonts w:ascii="Times New Roman" w:hAnsi="Times New Roman"/>
    </w:rPr>
  </w:style>
  <w:style w:type="paragraph" w:styleId="Zwykytekst">
    <w:name w:val="Plain Text"/>
    <w:basedOn w:val="Normalny"/>
    <w:next w:val="Tekstkomentarza"/>
    <w:link w:val="ZwykytekstZnak"/>
    <w:uiPriority w:val="99"/>
    <w:semiHidden/>
    <w:rsid w:val="0011489B"/>
    <w:pPr>
      <w:jc w:val="both"/>
    </w:p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1489B"/>
    <w:rPr>
      <w:rFonts w:ascii="Times New Roman" w:eastAsia="Times New Roman" w:hAnsi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rsid w:val="00F81BC2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81BC2"/>
    <w:rPr>
      <w:rFonts w:ascii="Times" w:eastAsia="Times New Roman" w:hAnsi="Times" w:cs="Times New Roman"/>
      <w:kern w:val="1"/>
      <w:sz w:val="20"/>
      <w:szCs w:val="20"/>
      <w:lang w:val="x-none" w:eastAsia="ar-SA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F81BC2"/>
    <w:pPr>
      <w:widowControl/>
      <w:suppressAutoHyphens/>
      <w:spacing w:before="120"/>
      <w:ind w:firstLine="510"/>
      <w:jc w:val="both"/>
    </w:pPr>
    <w:rPr>
      <w:rFonts w:ascii="Times" w:hAnsi="Times"/>
      <w:bCs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F81BC2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CZWSPLITczwsplnaliter">
    <w:name w:val="CZ_WSP_LIT – część wspólna liter"/>
    <w:basedOn w:val="Normalny"/>
    <w:next w:val="Normalny"/>
    <w:uiPriority w:val="17"/>
    <w:qFormat/>
    <w:rsid w:val="00F81BC2"/>
    <w:pPr>
      <w:widowControl/>
      <w:autoSpaceDE/>
      <w:autoSpaceDN/>
      <w:adjustRightInd/>
      <w:ind w:left="510"/>
      <w:jc w:val="both"/>
    </w:pPr>
    <w:rPr>
      <w:rFonts w:ascii="Times" w:hAnsi="Times"/>
      <w:bCs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Normalny"/>
    <w:next w:val="Normalny"/>
    <w:uiPriority w:val="29"/>
    <w:qFormat/>
    <w:rsid w:val="00F81BC2"/>
    <w:pPr>
      <w:keepNext/>
      <w:widowControl/>
      <w:suppressAutoHyphens/>
      <w:autoSpaceDE/>
      <w:autoSpaceDN/>
      <w:adjustRightInd/>
      <w:spacing w:before="120" w:after="120"/>
      <w:ind w:left="510"/>
      <w:jc w:val="center"/>
    </w:pPr>
    <w:rPr>
      <w:rFonts w:ascii="Times" w:hAnsi="Times" w:cs="Times New Roman"/>
      <w:bCs/>
      <w:szCs w:val="24"/>
    </w:rPr>
  </w:style>
  <w:style w:type="character" w:customStyle="1" w:styleId="Ppogrubienie">
    <w:name w:val="_P_ – pogrubienie"/>
    <w:uiPriority w:val="1"/>
    <w:qFormat/>
    <w:rsid w:val="00F81BC2"/>
    <w:rPr>
      <w:b/>
    </w:rPr>
  </w:style>
  <w:style w:type="character" w:styleId="Hipercze">
    <w:name w:val="Hyperlink"/>
    <w:uiPriority w:val="99"/>
    <w:semiHidden/>
    <w:rsid w:val="00F81BC2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5402D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B40E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40E8"/>
    <w:pPr>
      <w:spacing w:after="0"/>
    </w:pPr>
    <w:rPr>
      <w:b/>
      <w:bCs/>
      <w:sz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40E8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0E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0E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D020E"/>
    <w:pPr>
      <w:ind w:left="720"/>
      <w:contextualSpacing/>
    </w:pPr>
  </w:style>
  <w:style w:type="paragraph" w:customStyle="1" w:styleId="Default">
    <w:name w:val="Default"/>
    <w:rsid w:val="00162E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ivpoint">
    <w:name w:val="div.point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5E2F7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AA336D"/>
    <w:pPr>
      <w:widowControl/>
      <w:autoSpaceDE/>
      <w:autoSpaceDN/>
      <w:adjustRightInd/>
      <w:jc w:val="both"/>
    </w:pPr>
    <w:rPr>
      <w:rFonts w:ascii="Times" w:hAnsi="Times"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2F82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2F82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2F8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33E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0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211DC-B4A3-4C96-B09A-1402C69E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1737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Radomyska</dc:creator>
  <cp:lastModifiedBy>Anna Herman</cp:lastModifiedBy>
  <cp:revision>2</cp:revision>
  <dcterms:created xsi:type="dcterms:W3CDTF">2021-04-29T14:17:00Z</dcterms:created>
  <dcterms:modified xsi:type="dcterms:W3CDTF">2021-04-29T14:17:00Z</dcterms:modified>
</cp:coreProperties>
</file>